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800FE" w14:textId="0D7A0084" w:rsidR="00CC6500" w:rsidRPr="00CC6500" w:rsidRDefault="00557F51" w:rsidP="00CC6500">
      <w:pPr>
        <w:rPr>
          <w:rFonts w:ascii="Lexend Deca" w:hAnsi="Lexend Deca"/>
          <w:b/>
          <w:bCs/>
          <w:sz w:val="40"/>
          <w:szCs w:val="40"/>
        </w:rPr>
      </w:pPr>
      <w:r w:rsidRPr="00557F51">
        <w:rPr>
          <w:rFonts w:ascii="Lexend Deca" w:hAnsi="Lexend Deca"/>
          <w:b/>
          <w:bCs/>
          <w:sz w:val="40"/>
          <w:szCs w:val="40"/>
        </w:rPr>
        <w:t>Fostering an effective learning environment</w:t>
      </w:r>
    </w:p>
    <w:p w14:paraId="4F1B05FC" w14:textId="1C727B0F" w:rsidR="00CC6500" w:rsidRPr="00CC6500" w:rsidRDefault="00CC6500" w:rsidP="00CC6500">
      <w:pPr>
        <w:rPr>
          <w:rFonts w:ascii="Lexend Deca" w:hAnsi="Lexend Deca"/>
          <w:sz w:val="24"/>
          <w:szCs w:val="24"/>
        </w:rPr>
      </w:pPr>
      <w:r w:rsidRPr="00CC6500">
        <w:rPr>
          <w:rFonts w:ascii="Lexend Deca" w:hAnsi="Lexend Deca"/>
          <w:b/>
          <w:bCs/>
          <w:sz w:val="24"/>
          <w:szCs w:val="24"/>
        </w:rPr>
        <w:t xml:space="preserve">“Training and consistency are going to be key moving forward.” </w:t>
      </w:r>
      <w:r w:rsidRPr="00CC6500">
        <w:rPr>
          <w:rFonts w:ascii="Lexend Deca" w:hAnsi="Lexend Deca"/>
          <w:sz w:val="24"/>
          <w:szCs w:val="24"/>
        </w:rPr>
        <w:t>Professional Panel member</w:t>
      </w:r>
    </w:p>
    <w:p w14:paraId="5AC17C2C" w14:textId="77777777" w:rsidR="00CC6500" w:rsidRPr="00CC6500" w:rsidRDefault="00CC6500" w:rsidP="00CC6500">
      <w:pPr>
        <w:rPr>
          <w:rFonts w:ascii="Lexend Deca" w:hAnsi="Lexend Deca"/>
          <w:sz w:val="24"/>
          <w:szCs w:val="24"/>
        </w:rPr>
      </w:pPr>
      <w:r w:rsidRPr="00CC6500">
        <w:rPr>
          <w:rFonts w:ascii="Lexend Deca" w:hAnsi="Lexend Deca"/>
          <w:b/>
          <w:bCs/>
          <w:sz w:val="24"/>
          <w:szCs w:val="24"/>
        </w:rPr>
        <w:t xml:space="preserve">“Time and space are needed for workers to learn about this and get it right, otherwise it’s just an exercise. Too many people think if they speak to children once they have addressed rights, but it is about embedding children’s rights into your everyday practice. It’s a complete change in attitude that is needed.” </w:t>
      </w:r>
      <w:r w:rsidRPr="00CC6500">
        <w:rPr>
          <w:rFonts w:ascii="Lexend Deca" w:hAnsi="Lexend Deca"/>
          <w:sz w:val="24"/>
          <w:szCs w:val="24"/>
        </w:rPr>
        <w:t>Professional Panel member</w:t>
      </w:r>
    </w:p>
    <w:p w14:paraId="4BC585D7" w14:textId="77777777" w:rsidR="00CC6500" w:rsidRPr="00CC6500" w:rsidRDefault="00CC6500" w:rsidP="00CC6500">
      <w:pPr>
        <w:rPr>
          <w:rFonts w:ascii="Lexend Deca" w:hAnsi="Lexend Deca"/>
          <w:sz w:val="24"/>
          <w:szCs w:val="24"/>
        </w:rPr>
      </w:pPr>
      <w:r w:rsidRPr="00CC6500">
        <w:rPr>
          <w:rFonts w:ascii="Lexend Deca" w:hAnsi="Lexend Deca"/>
          <w:b/>
          <w:bCs/>
          <w:sz w:val="24"/>
          <w:szCs w:val="24"/>
        </w:rPr>
        <w:t>What helps to create an effective learning environment? Careful planning:</w:t>
      </w:r>
    </w:p>
    <w:p w14:paraId="73AC6B7C" w14:textId="27CA387F" w:rsidR="00CC6500" w:rsidRPr="00DE7CD3" w:rsidRDefault="00CC6500" w:rsidP="00DE7CD3">
      <w:pPr>
        <w:pStyle w:val="ListParagraph"/>
        <w:numPr>
          <w:ilvl w:val="0"/>
          <w:numId w:val="8"/>
        </w:numPr>
        <w:rPr>
          <w:rFonts w:ascii="Lexend Deca" w:hAnsi="Lexend Deca"/>
          <w:sz w:val="24"/>
          <w:szCs w:val="24"/>
        </w:rPr>
      </w:pPr>
      <w:r w:rsidRPr="00DE7CD3">
        <w:rPr>
          <w:rFonts w:ascii="Lexend Deca" w:hAnsi="Lexend Deca"/>
          <w:sz w:val="24"/>
          <w:szCs w:val="24"/>
        </w:rPr>
        <w:t xml:space="preserve">Understanding work already done across Scotland and </w:t>
      </w:r>
      <w:r w:rsidR="00A266CC" w:rsidRPr="00DE7CD3">
        <w:rPr>
          <w:rFonts w:ascii="Lexend Deca" w:hAnsi="Lexend Deca"/>
          <w:sz w:val="24"/>
          <w:szCs w:val="24"/>
        </w:rPr>
        <w:t>incorporat</w:t>
      </w:r>
      <w:r w:rsidR="00A266CC">
        <w:rPr>
          <w:rFonts w:ascii="Lexend Deca" w:hAnsi="Lexend Deca"/>
          <w:sz w:val="24"/>
          <w:szCs w:val="24"/>
        </w:rPr>
        <w:t>ing</w:t>
      </w:r>
      <w:r w:rsidR="00A266CC" w:rsidRPr="00DE7CD3">
        <w:rPr>
          <w:rFonts w:ascii="Lexend Deca" w:hAnsi="Lexend Deca"/>
          <w:sz w:val="24"/>
          <w:szCs w:val="24"/>
        </w:rPr>
        <w:t xml:space="preserve"> </w:t>
      </w:r>
      <w:r w:rsidRPr="00DE7CD3">
        <w:rPr>
          <w:rFonts w:ascii="Lexend Deca" w:hAnsi="Lexend Deca"/>
          <w:sz w:val="24"/>
          <w:szCs w:val="24"/>
        </w:rPr>
        <w:t>any learnings.</w:t>
      </w:r>
    </w:p>
    <w:p w14:paraId="38A460D8" w14:textId="77777777" w:rsidR="00CC6500" w:rsidRPr="00DE7CD3" w:rsidRDefault="00CC6500" w:rsidP="00DE7CD3">
      <w:pPr>
        <w:pStyle w:val="ListParagraph"/>
        <w:numPr>
          <w:ilvl w:val="0"/>
          <w:numId w:val="8"/>
        </w:numPr>
        <w:rPr>
          <w:rFonts w:ascii="Lexend Deca" w:hAnsi="Lexend Deca"/>
          <w:sz w:val="24"/>
          <w:szCs w:val="24"/>
        </w:rPr>
      </w:pPr>
      <w:r w:rsidRPr="00DE7CD3">
        <w:rPr>
          <w:rFonts w:ascii="Lexend Deca" w:hAnsi="Lexend Deca"/>
          <w:sz w:val="24"/>
          <w:szCs w:val="24"/>
        </w:rPr>
        <w:t>Identifying areas across existing training where UNCRC could be mainstreamed.</w:t>
      </w:r>
    </w:p>
    <w:p w14:paraId="46899ACA" w14:textId="77777777" w:rsidR="00DE7CD3" w:rsidRPr="00DE7CD3" w:rsidRDefault="00CC6500" w:rsidP="00DE7CD3">
      <w:pPr>
        <w:pStyle w:val="ListParagraph"/>
        <w:numPr>
          <w:ilvl w:val="0"/>
          <w:numId w:val="8"/>
        </w:numPr>
        <w:rPr>
          <w:rFonts w:ascii="Lexend Deca" w:hAnsi="Lexend Deca"/>
          <w:sz w:val="24"/>
          <w:szCs w:val="24"/>
        </w:rPr>
      </w:pPr>
      <w:r w:rsidRPr="00DE7CD3">
        <w:rPr>
          <w:rFonts w:ascii="Lexend Deca" w:hAnsi="Lexend Deca"/>
          <w:sz w:val="24"/>
          <w:szCs w:val="24"/>
        </w:rPr>
        <w:t xml:space="preserve">Testing materials in advance. </w:t>
      </w:r>
    </w:p>
    <w:p w14:paraId="15240E6C" w14:textId="6EE79D47" w:rsidR="00CC6500" w:rsidRPr="00CC6500" w:rsidRDefault="00CC6500" w:rsidP="00DE7CD3">
      <w:pPr>
        <w:rPr>
          <w:rFonts w:ascii="Lexend Deca" w:hAnsi="Lexend Deca"/>
          <w:sz w:val="24"/>
          <w:szCs w:val="24"/>
        </w:rPr>
      </w:pPr>
      <w:r w:rsidRPr="00CC6500">
        <w:rPr>
          <w:rFonts w:ascii="Lexend Deca" w:hAnsi="Lexend Deca"/>
          <w:b/>
          <w:bCs/>
          <w:sz w:val="24"/>
          <w:szCs w:val="24"/>
        </w:rPr>
        <w:t>Systems and leadership:</w:t>
      </w:r>
    </w:p>
    <w:p w14:paraId="2349F172" w14:textId="77777777" w:rsidR="00CC6500" w:rsidRPr="00DE7CD3" w:rsidRDefault="00CC6500" w:rsidP="00DE7CD3">
      <w:pPr>
        <w:pStyle w:val="ListParagraph"/>
        <w:numPr>
          <w:ilvl w:val="0"/>
          <w:numId w:val="9"/>
        </w:numPr>
        <w:rPr>
          <w:rFonts w:ascii="Lexend Deca" w:hAnsi="Lexend Deca"/>
          <w:sz w:val="24"/>
          <w:szCs w:val="24"/>
        </w:rPr>
      </w:pPr>
      <w:r w:rsidRPr="00DE7CD3">
        <w:rPr>
          <w:rFonts w:ascii="Lexend Deca" w:hAnsi="Lexend Deca"/>
          <w:sz w:val="24"/>
          <w:szCs w:val="24"/>
        </w:rPr>
        <w:t>Leadership must commit to training, including the importance of supporting the workforce to use a children’s human rights approach.</w:t>
      </w:r>
    </w:p>
    <w:p w14:paraId="66C05C55" w14:textId="77777777" w:rsidR="00CC6500" w:rsidRPr="00DE7CD3" w:rsidRDefault="00CC6500" w:rsidP="00DE7CD3">
      <w:pPr>
        <w:pStyle w:val="ListParagraph"/>
        <w:numPr>
          <w:ilvl w:val="0"/>
          <w:numId w:val="9"/>
        </w:numPr>
        <w:rPr>
          <w:rFonts w:ascii="Lexend Deca" w:hAnsi="Lexend Deca"/>
          <w:sz w:val="24"/>
          <w:szCs w:val="24"/>
        </w:rPr>
      </w:pPr>
      <w:r w:rsidRPr="00DE7CD3">
        <w:rPr>
          <w:rFonts w:ascii="Lexend Deca" w:hAnsi="Lexend Deca"/>
          <w:sz w:val="24"/>
          <w:szCs w:val="24"/>
        </w:rPr>
        <w:t>Identifying training champions and children’s rights advocates across Scotland.</w:t>
      </w:r>
    </w:p>
    <w:p w14:paraId="7CA31260" w14:textId="77777777" w:rsidR="00CC6500" w:rsidRPr="00DE7CD3" w:rsidRDefault="00CC6500" w:rsidP="00DE7CD3">
      <w:pPr>
        <w:pStyle w:val="ListParagraph"/>
        <w:numPr>
          <w:ilvl w:val="0"/>
          <w:numId w:val="9"/>
        </w:numPr>
        <w:rPr>
          <w:rFonts w:ascii="Lexend Deca" w:hAnsi="Lexend Deca"/>
          <w:sz w:val="24"/>
          <w:szCs w:val="24"/>
        </w:rPr>
      </w:pPr>
      <w:r w:rsidRPr="00DE7CD3">
        <w:rPr>
          <w:rFonts w:ascii="Lexend Deca" w:hAnsi="Lexend Deca"/>
          <w:sz w:val="24"/>
          <w:szCs w:val="24"/>
        </w:rPr>
        <w:t>Training elected members and improving wider governance structures.</w:t>
      </w:r>
    </w:p>
    <w:p w14:paraId="1704E37D" w14:textId="77777777" w:rsidR="00CC6500" w:rsidRPr="00DE7CD3" w:rsidRDefault="00CC6500" w:rsidP="00DE7CD3">
      <w:pPr>
        <w:pStyle w:val="ListParagraph"/>
        <w:numPr>
          <w:ilvl w:val="0"/>
          <w:numId w:val="9"/>
        </w:numPr>
        <w:rPr>
          <w:rFonts w:ascii="Lexend Deca" w:hAnsi="Lexend Deca"/>
          <w:sz w:val="24"/>
          <w:szCs w:val="24"/>
        </w:rPr>
      </w:pPr>
      <w:r w:rsidRPr="00DE7CD3">
        <w:rPr>
          <w:rFonts w:ascii="Lexend Deca" w:hAnsi="Lexend Deca"/>
          <w:sz w:val="24"/>
          <w:szCs w:val="24"/>
        </w:rPr>
        <w:t>Funding models for delivery of training and learning.</w:t>
      </w:r>
    </w:p>
    <w:p w14:paraId="3197FA91" w14:textId="77777777" w:rsidR="00CC6500" w:rsidRPr="00DE7CD3" w:rsidRDefault="00CC6500" w:rsidP="00DE7CD3">
      <w:pPr>
        <w:pStyle w:val="ListParagraph"/>
        <w:numPr>
          <w:ilvl w:val="0"/>
          <w:numId w:val="9"/>
        </w:numPr>
        <w:rPr>
          <w:rFonts w:ascii="Lexend Deca" w:hAnsi="Lexend Deca"/>
          <w:sz w:val="24"/>
          <w:szCs w:val="24"/>
        </w:rPr>
      </w:pPr>
      <w:r w:rsidRPr="00DE7CD3">
        <w:rPr>
          <w:rFonts w:ascii="Lexend Deca" w:hAnsi="Lexend Deca"/>
          <w:sz w:val="24"/>
          <w:szCs w:val="24"/>
        </w:rPr>
        <w:t>Highlighting the benefits of implementing UNCRC as a motivation to engage with training.</w:t>
      </w:r>
    </w:p>
    <w:p w14:paraId="7B3B2CFD" w14:textId="77777777" w:rsidR="00CC6500" w:rsidRPr="00CC6500" w:rsidRDefault="00CC6500" w:rsidP="00CC6500">
      <w:pPr>
        <w:rPr>
          <w:rFonts w:ascii="Lexend Deca" w:hAnsi="Lexend Deca"/>
          <w:sz w:val="24"/>
          <w:szCs w:val="24"/>
        </w:rPr>
      </w:pPr>
      <w:r w:rsidRPr="00CC6500">
        <w:rPr>
          <w:rFonts w:ascii="Lexend Deca" w:hAnsi="Lexend Deca"/>
          <w:b/>
          <w:bCs/>
          <w:sz w:val="24"/>
          <w:szCs w:val="24"/>
        </w:rPr>
        <w:t>Making it practical:</w:t>
      </w:r>
    </w:p>
    <w:p w14:paraId="2839E358" w14:textId="77777777" w:rsidR="00CC6500" w:rsidRPr="00DE7CD3" w:rsidRDefault="00CC6500" w:rsidP="00DE7CD3">
      <w:pPr>
        <w:pStyle w:val="ListParagraph"/>
        <w:numPr>
          <w:ilvl w:val="0"/>
          <w:numId w:val="10"/>
        </w:numPr>
        <w:rPr>
          <w:rFonts w:ascii="Lexend Deca" w:hAnsi="Lexend Deca"/>
          <w:sz w:val="24"/>
          <w:szCs w:val="24"/>
        </w:rPr>
      </w:pPr>
      <w:r w:rsidRPr="00DE7CD3">
        <w:rPr>
          <w:rFonts w:ascii="Lexend Deca" w:hAnsi="Lexend Deca"/>
          <w:sz w:val="24"/>
          <w:szCs w:val="24"/>
        </w:rPr>
        <w:t>Ensuring peer learning, reflective practice, and partnership runs through the training programme.</w:t>
      </w:r>
    </w:p>
    <w:p w14:paraId="4FD35D24" w14:textId="77777777" w:rsidR="00CC6500" w:rsidRPr="00DE7CD3" w:rsidRDefault="00CC6500" w:rsidP="00DE7CD3">
      <w:pPr>
        <w:pStyle w:val="ListParagraph"/>
        <w:numPr>
          <w:ilvl w:val="0"/>
          <w:numId w:val="10"/>
        </w:numPr>
        <w:rPr>
          <w:rFonts w:ascii="Lexend Deca" w:hAnsi="Lexend Deca"/>
          <w:sz w:val="24"/>
          <w:szCs w:val="24"/>
        </w:rPr>
      </w:pPr>
      <w:r w:rsidRPr="00DE7CD3">
        <w:rPr>
          <w:rFonts w:ascii="Lexend Deca" w:hAnsi="Lexend Deca"/>
          <w:sz w:val="24"/>
          <w:szCs w:val="24"/>
        </w:rPr>
        <w:t>Linking to performance management, including to individual workplans, and learning and development.</w:t>
      </w:r>
    </w:p>
    <w:p w14:paraId="7AA9146D" w14:textId="77777777" w:rsidR="00CC6500" w:rsidRPr="00DE7CD3" w:rsidRDefault="00CC6500" w:rsidP="00DE7CD3">
      <w:pPr>
        <w:pStyle w:val="ListParagraph"/>
        <w:numPr>
          <w:ilvl w:val="0"/>
          <w:numId w:val="10"/>
        </w:numPr>
        <w:rPr>
          <w:rFonts w:ascii="Lexend Deca" w:hAnsi="Lexend Deca"/>
          <w:sz w:val="24"/>
          <w:szCs w:val="24"/>
        </w:rPr>
      </w:pPr>
      <w:r w:rsidRPr="00DE7CD3">
        <w:rPr>
          <w:rFonts w:ascii="Lexend Deca" w:hAnsi="Lexend Deca"/>
          <w:sz w:val="24"/>
          <w:szCs w:val="24"/>
        </w:rPr>
        <w:t>Organising learning events.</w:t>
      </w:r>
    </w:p>
    <w:p w14:paraId="43819E72" w14:textId="77777777" w:rsidR="00CC6500" w:rsidRPr="00DE7CD3" w:rsidRDefault="00CC6500" w:rsidP="00DE7CD3">
      <w:pPr>
        <w:pStyle w:val="ListParagraph"/>
        <w:numPr>
          <w:ilvl w:val="0"/>
          <w:numId w:val="10"/>
        </w:numPr>
        <w:rPr>
          <w:rFonts w:ascii="Lexend Deca" w:hAnsi="Lexend Deca"/>
          <w:sz w:val="24"/>
          <w:szCs w:val="24"/>
        </w:rPr>
      </w:pPr>
      <w:r w:rsidRPr="00DE7CD3">
        <w:rPr>
          <w:rFonts w:ascii="Lexend Deca" w:hAnsi="Lexend Deca"/>
          <w:sz w:val="24"/>
          <w:szCs w:val="24"/>
        </w:rPr>
        <w:t>Ensuring materials include relevant day-to-day examples and activities.</w:t>
      </w:r>
    </w:p>
    <w:p w14:paraId="7B262CEB" w14:textId="73A7CF63" w:rsidR="00CC6500" w:rsidRPr="00DE7CD3" w:rsidRDefault="00CC6500" w:rsidP="00DE7CD3">
      <w:pPr>
        <w:pStyle w:val="ListParagraph"/>
        <w:numPr>
          <w:ilvl w:val="0"/>
          <w:numId w:val="10"/>
        </w:numPr>
        <w:rPr>
          <w:rFonts w:ascii="Lexend Deca" w:hAnsi="Lexend Deca"/>
          <w:sz w:val="24"/>
          <w:szCs w:val="24"/>
        </w:rPr>
      </w:pPr>
      <w:r w:rsidRPr="00DE7CD3">
        <w:rPr>
          <w:rFonts w:ascii="Lexend Deca" w:hAnsi="Lexend Deca"/>
          <w:sz w:val="24"/>
          <w:szCs w:val="24"/>
        </w:rPr>
        <w:t xml:space="preserve">Providing bespoke support to different departments and organisations to ensure it responds to current programmes of work. </w:t>
      </w:r>
    </w:p>
    <w:p w14:paraId="02963B12" w14:textId="77777777" w:rsidR="00CC6500" w:rsidRPr="00CC6500" w:rsidRDefault="00CC6500" w:rsidP="00CC6500">
      <w:pPr>
        <w:rPr>
          <w:rFonts w:ascii="Lexend Deca" w:hAnsi="Lexend Deca"/>
          <w:sz w:val="24"/>
          <w:szCs w:val="24"/>
        </w:rPr>
      </w:pPr>
      <w:r w:rsidRPr="00CC6500">
        <w:rPr>
          <w:rFonts w:ascii="Lexend Deca" w:hAnsi="Lexend Deca"/>
          <w:b/>
          <w:bCs/>
          <w:sz w:val="24"/>
          <w:szCs w:val="24"/>
        </w:rPr>
        <w:t>Planning to share and embed learning:</w:t>
      </w:r>
    </w:p>
    <w:p w14:paraId="5864D337" w14:textId="77777777" w:rsidR="00CC6500" w:rsidRPr="00DE7CD3" w:rsidRDefault="00CC6500" w:rsidP="00DE7CD3">
      <w:pPr>
        <w:pStyle w:val="ListParagraph"/>
        <w:numPr>
          <w:ilvl w:val="0"/>
          <w:numId w:val="11"/>
        </w:numPr>
        <w:rPr>
          <w:rFonts w:ascii="Lexend Deca" w:hAnsi="Lexend Deca"/>
          <w:sz w:val="24"/>
          <w:szCs w:val="24"/>
        </w:rPr>
      </w:pPr>
      <w:r w:rsidRPr="00DE7CD3">
        <w:rPr>
          <w:rFonts w:ascii="Lexend Deca" w:hAnsi="Lexend Deca"/>
          <w:sz w:val="24"/>
          <w:szCs w:val="24"/>
        </w:rPr>
        <w:t>Extending training to community groups and organisations such as community councils and local planning boards.</w:t>
      </w:r>
    </w:p>
    <w:p w14:paraId="2F07CF3C" w14:textId="77777777" w:rsidR="00CC6500" w:rsidRPr="00DE7CD3" w:rsidRDefault="00CC6500" w:rsidP="00DE7CD3">
      <w:pPr>
        <w:pStyle w:val="ListParagraph"/>
        <w:numPr>
          <w:ilvl w:val="0"/>
          <w:numId w:val="11"/>
        </w:numPr>
        <w:rPr>
          <w:rFonts w:ascii="Lexend Deca" w:hAnsi="Lexend Deca"/>
          <w:sz w:val="24"/>
          <w:szCs w:val="24"/>
        </w:rPr>
      </w:pPr>
      <w:r w:rsidRPr="00DE7CD3">
        <w:rPr>
          <w:rFonts w:ascii="Lexend Deca" w:hAnsi="Lexend Deca"/>
          <w:sz w:val="24"/>
          <w:szCs w:val="24"/>
        </w:rPr>
        <w:lastRenderedPageBreak/>
        <w:t>Creating additional support networks of practice and follow up discussion groups.</w:t>
      </w:r>
    </w:p>
    <w:p w14:paraId="164BCAE2" w14:textId="3672997E" w:rsidR="00CC6500" w:rsidRPr="00DE7CD3" w:rsidRDefault="00CC6500" w:rsidP="00CC6500">
      <w:pPr>
        <w:pStyle w:val="ListParagraph"/>
        <w:numPr>
          <w:ilvl w:val="0"/>
          <w:numId w:val="11"/>
        </w:numPr>
        <w:rPr>
          <w:rFonts w:ascii="Lexend Deca" w:hAnsi="Lexend Deca"/>
          <w:sz w:val="24"/>
          <w:szCs w:val="24"/>
        </w:rPr>
      </w:pPr>
      <w:r w:rsidRPr="00DE7CD3">
        <w:rPr>
          <w:rFonts w:ascii="Lexend Deca" w:hAnsi="Lexend Deca"/>
          <w:sz w:val="24"/>
          <w:szCs w:val="24"/>
        </w:rPr>
        <w:t>After training, review, learn, and test again.</w:t>
      </w:r>
    </w:p>
    <w:p w14:paraId="6F14BD06" w14:textId="77777777" w:rsidR="00A266CC" w:rsidRDefault="00245B60" w:rsidP="00245B60">
      <w:pPr>
        <w:rPr>
          <w:rFonts w:ascii="Lexend Deca" w:hAnsi="Lexend Deca"/>
          <w:b/>
          <w:bCs/>
          <w:sz w:val="24"/>
          <w:szCs w:val="24"/>
        </w:rPr>
      </w:pPr>
      <w:r w:rsidRPr="00245B60">
        <w:rPr>
          <w:rFonts w:ascii="Lexend Deca" w:hAnsi="Lexend Deca"/>
          <w:b/>
          <w:bCs/>
          <w:sz w:val="24"/>
          <w:szCs w:val="24"/>
        </w:rPr>
        <w:t xml:space="preserve">What can be strengthened to mitigate barriers? </w:t>
      </w:r>
    </w:p>
    <w:p w14:paraId="45A81971" w14:textId="505BDC06" w:rsidR="00245B60" w:rsidRPr="00245B60" w:rsidRDefault="00245B60" w:rsidP="00245B60">
      <w:pPr>
        <w:rPr>
          <w:rFonts w:ascii="Lexend Deca" w:hAnsi="Lexend Deca"/>
          <w:sz w:val="24"/>
          <w:szCs w:val="24"/>
        </w:rPr>
      </w:pPr>
      <w:r w:rsidRPr="00245B60">
        <w:rPr>
          <w:rFonts w:ascii="Lexend Deca" w:hAnsi="Lexend Deca"/>
          <w:b/>
          <w:bCs/>
          <w:sz w:val="24"/>
          <w:szCs w:val="24"/>
        </w:rPr>
        <w:t>Careful planning:</w:t>
      </w:r>
    </w:p>
    <w:p w14:paraId="5CE4CDB4" w14:textId="77777777" w:rsidR="00245B60" w:rsidRPr="00DE7CD3" w:rsidRDefault="00245B60" w:rsidP="00DE7CD3">
      <w:pPr>
        <w:pStyle w:val="ListParagraph"/>
        <w:numPr>
          <w:ilvl w:val="0"/>
          <w:numId w:val="12"/>
        </w:numPr>
        <w:rPr>
          <w:rFonts w:ascii="Lexend Deca" w:hAnsi="Lexend Deca"/>
          <w:sz w:val="24"/>
          <w:szCs w:val="24"/>
        </w:rPr>
      </w:pPr>
      <w:r w:rsidRPr="00DE7CD3">
        <w:rPr>
          <w:rFonts w:ascii="Lexend Deca" w:hAnsi="Lexend Deca"/>
          <w:sz w:val="24"/>
          <w:szCs w:val="24"/>
        </w:rPr>
        <w:t>Reflecting on your own practice. Don’t assume you have all the knowledge. Bring it back to children and young people to see what they think of your work.</w:t>
      </w:r>
    </w:p>
    <w:p w14:paraId="50B4616F" w14:textId="77777777" w:rsidR="00245B60" w:rsidRPr="00DE7CD3" w:rsidRDefault="00245B60" w:rsidP="00DE7CD3">
      <w:pPr>
        <w:pStyle w:val="ListParagraph"/>
        <w:numPr>
          <w:ilvl w:val="0"/>
          <w:numId w:val="12"/>
        </w:numPr>
        <w:rPr>
          <w:rFonts w:ascii="Lexend Deca" w:hAnsi="Lexend Deca"/>
          <w:sz w:val="24"/>
          <w:szCs w:val="24"/>
        </w:rPr>
      </w:pPr>
      <w:r w:rsidRPr="00DE7CD3">
        <w:rPr>
          <w:rFonts w:ascii="Lexend Deca" w:hAnsi="Lexend Deca"/>
          <w:sz w:val="24"/>
          <w:szCs w:val="24"/>
        </w:rPr>
        <w:t>Proactively using alternative training approaches and formats to respond to capacity and time constraints.</w:t>
      </w:r>
    </w:p>
    <w:p w14:paraId="330AC082" w14:textId="77777777" w:rsidR="00245B60" w:rsidRPr="00DE7CD3" w:rsidRDefault="00245B60" w:rsidP="00DE7CD3">
      <w:pPr>
        <w:pStyle w:val="ListParagraph"/>
        <w:numPr>
          <w:ilvl w:val="0"/>
          <w:numId w:val="12"/>
        </w:numPr>
        <w:rPr>
          <w:rFonts w:ascii="Lexend Deca" w:hAnsi="Lexend Deca"/>
          <w:sz w:val="24"/>
          <w:szCs w:val="24"/>
        </w:rPr>
      </w:pPr>
      <w:r w:rsidRPr="00DE7CD3">
        <w:rPr>
          <w:rFonts w:ascii="Lexend Deca" w:hAnsi="Lexend Deca"/>
          <w:sz w:val="24"/>
          <w:szCs w:val="24"/>
        </w:rPr>
        <w:t>Defining the scope of the training audience with a maximalist reach. Children and young people think everyone should be trained.</w:t>
      </w:r>
    </w:p>
    <w:p w14:paraId="3E880542" w14:textId="77777777" w:rsidR="00245B60" w:rsidRPr="00DE7CD3" w:rsidRDefault="00245B60" w:rsidP="00DE7CD3">
      <w:pPr>
        <w:pStyle w:val="ListParagraph"/>
        <w:numPr>
          <w:ilvl w:val="0"/>
          <w:numId w:val="12"/>
        </w:numPr>
        <w:rPr>
          <w:rFonts w:ascii="Lexend Deca" w:hAnsi="Lexend Deca"/>
          <w:sz w:val="24"/>
          <w:szCs w:val="24"/>
        </w:rPr>
      </w:pPr>
      <w:r w:rsidRPr="00DE7CD3">
        <w:rPr>
          <w:rFonts w:ascii="Lexend Deca" w:hAnsi="Lexend Deca"/>
          <w:sz w:val="24"/>
          <w:szCs w:val="24"/>
        </w:rPr>
        <w:t>Understanding what motivations encourage your learners to complete their training and decide whether making it mandatory will be helpful.</w:t>
      </w:r>
    </w:p>
    <w:p w14:paraId="033E7A24" w14:textId="77777777" w:rsidR="00245B60" w:rsidRPr="00DE7CD3" w:rsidRDefault="00245B60" w:rsidP="00DE7CD3">
      <w:pPr>
        <w:pStyle w:val="ListParagraph"/>
        <w:numPr>
          <w:ilvl w:val="0"/>
          <w:numId w:val="12"/>
        </w:numPr>
        <w:rPr>
          <w:rFonts w:ascii="Lexend Deca" w:hAnsi="Lexend Deca"/>
          <w:sz w:val="24"/>
          <w:szCs w:val="24"/>
        </w:rPr>
      </w:pPr>
      <w:r w:rsidRPr="00DE7CD3">
        <w:rPr>
          <w:rFonts w:ascii="Lexend Deca" w:hAnsi="Lexend Deca"/>
          <w:sz w:val="24"/>
          <w:szCs w:val="24"/>
        </w:rPr>
        <w:t>Celebrating the diversity of knowledge, understanding, reactions to, and preferences towards training on children’s rights.</w:t>
      </w:r>
    </w:p>
    <w:p w14:paraId="0EE05D4B" w14:textId="77777777" w:rsidR="00245B60" w:rsidRPr="00DE7CD3" w:rsidRDefault="00245B60" w:rsidP="00DE7CD3">
      <w:pPr>
        <w:pStyle w:val="ListParagraph"/>
        <w:numPr>
          <w:ilvl w:val="0"/>
          <w:numId w:val="12"/>
        </w:numPr>
        <w:rPr>
          <w:rFonts w:ascii="Lexend Deca" w:hAnsi="Lexend Deca"/>
          <w:sz w:val="24"/>
          <w:szCs w:val="24"/>
        </w:rPr>
      </w:pPr>
      <w:r w:rsidRPr="00DE7CD3">
        <w:rPr>
          <w:rFonts w:ascii="Lexend Deca" w:hAnsi="Lexend Deca"/>
          <w:sz w:val="24"/>
          <w:szCs w:val="24"/>
        </w:rPr>
        <w:t>Evaluating the effectiveness and costs of different training methods including in person, blended, and e-Learning to reach different audiences and outcomes.</w:t>
      </w:r>
    </w:p>
    <w:p w14:paraId="5067D226" w14:textId="77777777" w:rsidR="00245B60" w:rsidRPr="00DE7CD3" w:rsidRDefault="00245B60" w:rsidP="00DE7CD3">
      <w:pPr>
        <w:pStyle w:val="ListParagraph"/>
        <w:numPr>
          <w:ilvl w:val="0"/>
          <w:numId w:val="12"/>
        </w:numPr>
        <w:rPr>
          <w:rFonts w:ascii="Lexend Deca" w:hAnsi="Lexend Deca"/>
          <w:sz w:val="24"/>
          <w:szCs w:val="24"/>
        </w:rPr>
      </w:pPr>
      <w:r w:rsidRPr="00DE7CD3">
        <w:rPr>
          <w:rFonts w:ascii="Lexend Deca" w:hAnsi="Lexend Deca"/>
          <w:sz w:val="24"/>
          <w:szCs w:val="24"/>
        </w:rPr>
        <w:t>Deciding how often the training will need to be refreshed.</w:t>
      </w:r>
    </w:p>
    <w:p w14:paraId="2EF94B30" w14:textId="010B30F2" w:rsidR="00245B60" w:rsidRPr="00DE7CD3" w:rsidRDefault="00245B60" w:rsidP="00DE7CD3">
      <w:pPr>
        <w:pStyle w:val="ListParagraph"/>
        <w:numPr>
          <w:ilvl w:val="0"/>
          <w:numId w:val="12"/>
        </w:numPr>
        <w:rPr>
          <w:rFonts w:ascii="Lexend Deca" w:hAnsi="Lexend Deca"/>
          <w:sz w:val="24"/>
          <w:szCs w:val="24"/>
        </w:rPr>
      </w:pPr>
      <w:r w:rsidRPr="00DE7CD3">
        <w:rPr>
          <w:rFonts w:ascii="Lexend Deca" w:hAnsi="Lexend Deca"/>
          <w:sz w:val="24"/>
          <w:szCs w:val="24"/>
        </w:rPr>
        <w:t>Acknowledging that the training might re-traumatise or vicariously traumatise workers if they have experienced issues with rights concerns, or potential or actual breaches, and plan a trauma-informed training programme.</w:t>
      </w:r>
    </w:p>
    <w:p w14:paraId="719F3C19" w14:textId="77777777" w:rsidR="00245B60" w:rsidRPr="00245B60" w:rsidRDefault="00245B60" w:rsidP="00245B60">
      <w:pPr>
        <w:rPr>
          <w:rFonts w:ascii="Lexend Deca" w:hAnsi="Lexend Deca"/>
          <w:sz w:val="24"/>
          <w:szCs w:val="24"/>
        </w:rPr>
      </w:pPr>
      <w:r w:rsidRPr="00245B60">
        <w:rPr>
          <w:rFonts w:ascii="Lexend Deca" w:hAnsi="Lexend Deca"/>
          <w:b/>
          <w:bCs/>
          <w:sz w:val="24"/>
          <w:szCs w:val="24"/>
        </w:rPr>
        <w:t>Systems and leadership:</w:t>
      </w:r>
    </w:p>
    <w:p w14:paraId="04D18ECF" w14:textId="77777777" w:rsidR="00245B60" w:rsidRPr="00DE7CD3" w:rsidRDefault="00245B60" w:rsidP="00DE7CD3">
      <w:pPr>
        <w:pStyle w:val="ListParagraph"/>
        <w:numPr>
          <w:ilvl w:val="0"/>
          <w:numId w:val="13"/>
        </w:numPr>
        <w:rPr>
          <w:rFonts w:ascii="Lexend Deca" w:hAnsi="Lexend Deca"/>
          <w:sz w:val="24"/>
          <w:szCs w:val="24"/>
        </w:rPr>
      </w:pPr>
      <w:r w:rsidRPr="00DE7CD3">
        <w:rPr>
          <w:rFonts w:ascii="Lexend Deca" w:hAnsi="Lexend Deca"/>
          <w:sz w:val="24"/>
          <w:szCs w:val="24"/>
        </w:rPr>
        <w:t>Prioritising time for senior leadership to engage in training, learning and planning.</w:t>
      </w:r>
    </w:p>
    <w:p w14:paraId="6999FECA" w14:textId="2253CBE9" w:rsidR="00245B60" w:rsidRPr="00DE7CD3" w:rsidRDefault="00245B60" w:rsidP="00DE7CD3">
      <w:pPr>
        <w:pStyle w:val="ListParagraph"/>
        <w:numPr>
          <w:ilvl w:val="0"/>
          <w:numId w:val="13"/>
        </w:numPr>
        <w:rPr>
          <w:rFonts w:ascii="Lexend Deca" w:hAnsi="Lexend Deca"/>
          <w:sz w:val="24"/>
          <w:szCs w:val="24"/>
        </w:rPr>
      </w:pPr>
      <w:r w:rsidRPr="00DE7CD3">
        <w:rPr>
          <w:rFonts w:ascii="Lexend Deca" w:hAnsi="Lexend Deca"/>
          <w:sz w:val="24"/>
          <w:szCs w:val="24"/>
        </w:rPr>
        <w:t>Clearly explaining what the training will cover to respond to any wariness about uncertain legislative interpretation.</w:t>
      </w:r>
    </w:p>
    <w:p w14:paraId="53D0897C" w14:textId="77777777" w:rsidR="00245B60" w:rsidRPr="00245B60" w:rsidRDefault="00245B60" w:rsidP="00245B60">
      <w:pPr>
        <w:rPr>
          <w:rFonts w:ascii="Lexend Deca" w:hAnsi="Lexend Deca"/>
          <w:sz w:val="24"/>
          <w:szCs w:val="24"/>
        </w:rPr>
      </w:pPr>
      <w:r w:rsidRPr="00245B60">
        <w:rPr>
          <w:rFonts w:ascii="Lexend Deca" w:hAnsi="Lexend Deca"/>
          <w:b/>
          <w:bCs/>
          <w:sz w:val="24"/>
          <w:szCs w:val="24"/>
        </w:rPr>
        <w:t>Making it practical:</w:t>
      </w:r>
    </w:p>
    <w:p w14:paraId="02374ECA" w14:textId="77777777" w:rsidR="00245B60" w:rsidRPr="00DE7CD3" w:rsidRDefault="00245B60" w:rsidP="00DE7CD3">
      <w:pPr>
        <w:pStyle w:val="ListParagraph"/>
        <w:numPr>
          <w:ilvl w:val="0"/>
          <w:numId w:val="14"/>
        </w:numPr>
        <w:rPr>
          <w:rFonts w:ascii="Lexend Deca" w:hAnsi="Lexend Deca"/>
          <w:sz w:val="24"/>
          <w:szCs w:val="24"/>
        </w:rPr>
      </w:pPr>
      <w:r w:rsidRPr="00DE7CD3">
        <w:rPr>
          <w:rFonts w:ascii="Lexend Deca" w:hAnsi="Lexend Deca"/>
          <w:sz w:val="24"/>
          <w:szCs w:val="24"/>
        </w:rPr>
        <w:t>Starting by understanding learners’ knowledge levels and work.</w:t>
      </w:r>
    </w:p>
    <w:p w14:paraId="1E965FDB" w14:textId="4E3C7082" w:rsidR="00245B60" w:rsidRPr="00DE7CD3" w:rsidRDefault="00245B60" w:rsidP="00245B60">
      <w:pPr>
        <w:pStyle w:val="ListParagraph"/>
        <w:numPr>
          <w:ilvl w:val="0"/>
          <w:numId w:val="14"/>
        </w:numPr>
        <w:rPr>
          <w:rFonts w:ascii="Lexend Deca" w:hAnsi="Lexend Deca"/>
          <w:sz w:val="24"/>
          <w:szCs w:val="24"/>
        </w:rPr>
      </w:pPr>
      <w:r w:rsidRPr="00DE7CD3">
        <w:rPr>
          <w:rFonts w:ascii="Lexend Deca" w:hAnsi="Lexend Deca"/>
          <w:sz w:val="24"/>
          <w:szCs w:val="24"/>
        </w:rPr>
        <w:t>Avoiding focusing on common misconceptions or on ‘</w:t>
      </w:r>
      <w:proofErr w:type="spellStart"/>
      <w:r w:rsidRPr="00DE7CD3">
        <w:rPr>
          <w:rFonts w:ascii="Lexend Deca" w:hAnsi="Lexend Deca"/>
          <w:sz w:val="24"/>
          <w:szCs w:val="24"/>
        </w:rPr>
        <w:t>mythbusting</w:t>
      </w:r>
      <w:proofErr w:type="spellEnd"/>
      <w:r w:rsidRPr="00DE7CD3">
        <w:rPr>
          <w:rFonts w:ascii="Lexend Deca" w:hAnsi="Lexend Deca"/>
          <w:sz w:val="24"/>
          <w:szCs w:val="24"/>
        </w:rPr>
        <w:t>’. This can reinforce, rather than correct, misunderstandings. Tackle issues as they arise by giving learners a new way to think that moves them past their misconception.</w:t>
      </w:r>
    </w:p>
    <w:p w14:paraId="09E826D5" w14:textId="77777777" w:rsidR="00245B60" w:rsidRPr="00245B60" w:rsidRDefault="00245B60" w:rsidP="00245B60">
      <w:pPr>
        <w:rPr>
          <w:rFonts w:ascii="Lexend Deca" w:hAnsi="Lexend Deca"/>
          <w:sz w:val="24"/>
          <w:szCs w:val="24"/>
        </w:rPr>
      </w:pPr>
      <w:r w:rsidRPr="00245B60">
        <w:rPr>
          <w:rFonts w:ascii="Lexend Deca" w:hAnsi="Lexend Deca"/>
          <w:b/>
          <w:bCs/>
          <w:sz w:val="24"/>
          <w:szCs w:val="24"/>
        </w:rPr>
        <w:t>Planning to share and embed learning:</w:t>
      </w:r>
    </w:p>
    <w:p w14:paraId="2A267DCA" w14:textId="77777777" w:rsidR="00245B60" w:rsidRPr="00DE7CD3" w:rsidRDefault="00245B60" w:rsidP="00DE7CD3">
      <w:pPr>
        <w:pStyle w:val="ListParagraph"/>
        <w:numPr>
          <w:ilvl w:val="0"/>
          <w:numId w:val="15"/>
        </w:numPr>
        <w:rPr>
          <w:rFonts w:ascii="Lexend Deca" w:hAnsi="Lexend Deca"/>
          <w:sz w:val="24"/>
          <w:szCs w:val="24"/>
        </w:rPr>
      </w:pPr>
      <w:r w:rsidRPr="00DE7CD3">
        <w:rPr>
          <w:rFonts w:ascii="Lexend Deca" w:hAnsi="Lexend Deca"/>
          <w:sz w:val="24"/>
          <w:szCs w:val="24"/>
        </w:rPr>
        <w:t>Collaborating and sharing resources with different sectors and agencies to embed the training.</w:t>
      </w:r>
    </w:p>
    <w:p w14:paraId="21B48201" w14:textId="77777777" w:rsidR="00245B60" w:rsidRPr="00DE7CD3" w:rsidRDefault="00245B60" w:rsidP="00DE7CD3">
      <w:pPr>
        <w:pStyle w:val="ListParagraph"/>
        <w:numPr>
          <w:ilvl w:val="0"/>
          <w:numId w:val="15"/>
        </w:numPr>
        <w:rPr>
          <w:rFonts w:ascii="Lexend Deca" w:hAnsi="Lexend Deca"/>
          <w:sz w:val="24"/>
          <w:szCs w:val="24"/>
        </w:rPr>
      </w:pPr>
      <w:r w:rsidRPr="00DE7CD3">
        <w:rPr>
          <w:rFonts w:ascii="Lexend Deca" w:hAnsi="Lexend Deca"/>
          <w:sz w:val="24"/>
          <w:szCs w:val="24"/>
        </w:rPr>
        <w:lastRenderedPageBreak/>
        <w:t>Planning for follow-up sessions and bespoke next steps to ensure learning isn’t lost.</w:t>
      </w:r>
    </w:p>
    <w:p w14:paraId="24EC2F1D" w14:textId="77777777" w:rsidR="00245B60" w:rsidRPr="00DE7CD3" w:rsidRDefault="00245B60" w:rsidP="00DE7CD3">
      <w:pPr>
        <w:pStyle w:val="ListParagraph"/>
        <w:numPr>
          <w:ilvl w:val="0"/>
          <w:numId w:val="15"/>
        </w:numPr>
        <w:rPr>
          <w:rFonts w:ascii="Lexend Deca" w:hAnsi="Lexend Deca"/>
          <w:sz w:val="24"/>
          <w:szCs w:val="24"/>
        </w:rPr>
      </w:pPr>
      <w:r w:rsidRPr="00DE7CD3">
        <w:rPr>
          <w:rFonts w:ascii="Lexend Deca" w:hAnsi="Lexend Deca"/>
          <w:sz w:val="24"/>
          <w:szCs w:val="24"/>
        </w:rPr>
        <w:t>Evaluating the effectiveness of training and focusing on where changes need to be made for greater impact.</w:t>
      </w:r>
    </w:p>
    <w:p w14:paraId="78DC28A8" w14:textId="77777777" w:rsidR="00245B60" w:rsidRPr="00245B60" w:rsidRDefault="00245B60" w:rsidP="00245B60">
      <w:pPr>
        <w:rPr>
          <w:rFonts w:ascii="Lexend Deca" w:hAnsi="Lexend Deca"/>
          <w:sz w:val="24"/>
          <w:szCs w:val="24"/>
        </w:rPr>
      </w:pPr>
      <w:r w:rsidRPr="00245B60">
        <w:rPr>
          <w:rFonts w:ascii="Lexend Deca" w:hAnsi="Lexend Deca"/>
          <w:b/>
          <w:bCs/>
          <w:sz w:val="24"/>
          <w:szCs w:val="24"/>
        </w:rPr>
        <w:t>Reflection question:</w:t>
      </w:r>
      <w:r w:rsidRPr="00245B60">
        <w:rPr>
          <w:rFonts w:ascii="Lexend Deca" w:hAnsi="Lexend Deca"/>
          <w:sz w:val="24"/>
          <w:szCs w:val="24"/>
        </w:rPr>
        <w:t xml:space="preserve"> What is already working to create positive learning environments about children’s rights, human rights or equality related topics in your organisation?</w:t>
      </w:r>
    </w:p>
    <w:p w14:paraId="3110B562" w14:textId="77777777" w:rsidR="00245B60" w:rsidRPr="00245B60" w:rsidRDefault="00245B60" w:rsidP="00245B60">
      <w:pPr>
        <w:rPr>
          <w:rFonts w:ascii="Lexend Deca" w:hAnsi="Lexend Deca"/>
          <w:b/>
          <w:bCs/>
          <w:sz w:val="24"/>
          <w:szCs w:val="24"/>
        </w:rPr>
      </w:pPr>
      <w:r w:rsidRPr="00245B60">
        <w:rPr>
          <w:rFonts w:ascii="Lexend Deca" w:hAnsi="Lexend Deca"/>
          <w:b/>
          <w:bCs/>
          <w:sz w:val="24"/>
          <w:szCs w:val="24"/>
        </w:rPr>
        <w:t>Useful resources about creating learning environments:</w:t>
      </w:r>
    </w:p>
    <w:p w14:paraId="690B5048" w14:textId="372D0B10" w:rsidR="00245B60" w:rsidRPr="00245B60" w:rsidRDefault="00245B60" w:rsidP="00245B60">
      <w:pPr>
        <w:rPr>
          <w:rFonts w:ascii="Lexend Deca" w:hAnsi="Lexend Deca"/>
          <w:sz w:val="24"/>
          <w:szCs w:val="24"/>
        </w:rPr>
      </w:pPr>
      <w:r w:rsidRPr="00245B60">
        <w:rPr>
          <w:rFonts w:ascii="Lexend Deca" w:hAnsi="Lexend Deca"/>
          <w:sz w:val="24"/>
          <w:szCs w:val="24"/>
        </w:rPr>
        <w:t xml:space="preserve">Open Educational Practices have created a free four hour online course on </w:t>
      </w:r>
      <w:hyperlink r:id="rId8" w:history="1">
        <w:r w:rsidRPr="00DE7CD3">
          <w:rPr>
            <w:rStyle w:val="Hyperlink"/>
            <w:rFonts w:ascii="Lexend Deca" w:hAnsi="Lexend Deca"/>
            <w:sz w:val="24"/>
            <w:szCs w:val="24"/>
          </w:rPr>
          <w:t>supporting collective learning</w:t>
        </w:r>
      </w:hyperlink>
      <w:r w:rsidRPr="00245B60">
        <w:rPr>
          <w:rFonts w:ascii="Lexend Deca" w:hAnsi="Lexend Deca"/>
          <w:sz w:val="24"/>
          <w:szCs w:val="24"/>
        </w:rPr>
        <w:t xml:space="preserve"> in workplace and community settings through the Open University’s Open Learn Create platform.</w:t>
      </w:r>
    </w:p>
    <w:p w14:paraId="7213D8A2" w14:textId="5D50668E" w:rsidR="00245B60" w:rsidRPr="00245B60" w:rsidRDefault="00245B60" w:rsidP="00245B60">
      <w:pPr>
        <w:rPr>
          <w:rFonts w:ascii="Lexend Deca" w:hAnsi="Lexend Deca"/>
          <w:sz w:val="24"/>
          <w:szCs w:val="24"/>
        </w:rPr>
      </w:pPr>
      <w:r w:rsidRPr="00245B60">
        <w:rPr>
          <w:rFonts w:ascii="Lexend Deca" w:hAnsi="Lexend Deca"/>
          <w:sz w:val="24"/>
          <w:szCs w:val="24"/>
        </w:rPr>
        <w:t xml:space="preserve">Charted Institute of Personnel and Development (CIPD) report on </w:t>
      </w:r>
      <w:hyperlink r:id="rId9" w:history="1">
        <w:r w:rsidRPr="00DE7CD3">
          <w:rPr>
            <w:rStyle w:val="Hyperlink"/>
            <w:rFonts w:ascii="Lexend Deca" w:hAnsi="Lexend Deca"/>
            <w:sz w:val="24"/>
            <w:szCs w:val="24"/>
          </w:rPr>
          <w:t>creating learning cultures and assessing the evidence.</w:t>
        </w:r>
      </w:hyperlink>
    </w:p>
    <w:p w14:paraId="2CE54324" w14:textId="0F5899D0" w:rsidR="00245B60" w:rsidRPr="00CC6500" w:rsidRDefault="00245B60" w:rsidP="00245B60">
      <w:pPr>
        <w:rPr>
          <w:rFonts w:ascii="Lexend Deca" w:hAnsi="Lexend Deca"/>
          <w:sz w:val="24"/>
          <w:szCs w:val="24"/>
        </w:rPr>
      </w:pPr>
      <w:r w:rsidRPr="00245B60">
        <w:rPr>
          <w:rFonts w:ascii="Lexend Deca" w:hAnsi="Lexend Deca"/>
          <w:sz w:val="24"/>
          <w:szCs w:val="24"/>
        </w:rPr>
        <w:t xml:space="preserve">Education Scotland’s </w:t>
      </w:r>
      <w:hyperlink r:id="rId10" w:history="1">
        <w:r w:rsidRPr="00DE7CD3">
          <w:rPr>
            <w:rStyle w:val="Hyperlink"/>
            <w:rFonts w:ascii="Lexend Deca" w:hAnsi="Lexend Deca"/>
            <w:sz w:val="24"/>
            <w:szCs w:val="24"/>
          </w:rPr>
          <w:t xml:space="preserve">national model of </w:t>
        </w:r>
        <w:r w:rsidRPr="00DE7CD3">
          <w:rPr>
            <w:rStyle w:val="Hyperlink"/>
            <w:rFonts w:ascii="Lexend Deca" w:hAnsi="Lexend Deca"/>
            <w:sz w:val="24"/>
            <w:szCs w:val="24"/>
          </w:rPr>
          <w:t>professional learning.</w:t>
        </w:r>
      </w:hyperlink>
    </w:p>
    <w:p w14:paraId="6B073BB0" w14:textId="77777777" w:rsidR="00CC6500" w:rsidRPr="00CC6500" w:rsidRDefault="00CC6500" w:rsidP="00557F51">
      <w:pPr>
        <w:rPr>
          <w:rFonts w:ascii="Lexend Deca" w:hAnsi="Lexend Deca"/>
          <w:sz w:val="24"/>
          <w:szCs w:val="24"/>
        </w:rPr>
      </w:pPr>
    </w:p>
    <w:sectPr w:rsidR="00CC6500" w:rsidRPr="00CC6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altName w:val="Calibri"/>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C09E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2F62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B541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E90866"/>
    <w:multiLevelType w:val="hybridMultilevel"/>
    <w:tmpl w:val="DE4C8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C81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7534B1"/>
    <w:multiLevelType w:val="hybridMultilevel"/>
    <w:tmpl w:val="2E1A0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877C9"/>
    <w:multiLevelType w:val="hybridMultilevel"/>
    <w:tmpl w:val="751E7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A32DE"/>
    <w:multiLevelType w:val="hybridMultilevel"/>
    <w:tmpl w:val="5E5A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43B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CC847ED"/>
    <w:multiLevelType w:val="hybridMultilevel"/>
    <w:tmpl w:val="450A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C36866"/>
    <w:multiLevelType w:val="hybridMultilevel"/>
    <w:tmpl w:val="B122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B1E4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7EE7358"/>
    <w:multiLevelType w:val="hybridMultilevel"/>
    <w:tmpl w:val="95789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EC2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BD2756D"/>
    <w:multiLevelType w:val="hybridMultilevel"/>
    <w:tmpl w:val="7498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85819">
    <w:abstractNumId w:val="11"/>
  </w:num>
  <w:num w:numId="2" w16cid:durableId="1377006431">
    <w:abstractNumId w:val="0"/>
  </w:num>
  <w:num w:numId="3" w16cid:durableId="1444963093">
    <w:abstractNumId w:val="8"/>
  </w:num>
  <w:num w:numId="4" w16cid:durableId="1325549601">
    <w:abstractNumId w:val="4"/>
  </w:num>
  <w:num w:numId="5" w16cid:durableId="1607537984">
    <w:abstractNumId w:val="2"/>
  </w:num>
  <w:num w:numId="6" w16cid:durableId="1733580456">
    <w:abstractNumId w:val="1"/>
  </w:num>
  <w:num w:numId="7" w16cid:durableId="550120439">
    <w:abstractNumId w:val="13"/>
  </w:num>
  <w:num w:numId="8" w16cid:durableId="771969649">
    <w:abstractNumId w:val="14"/>
  </w:num>
  <w:num w:numId="9" w16cid:durableId="1369792368">
    <w:abstractNumId w:val="6"/>
  </w:num>
  <w:num w:numId="10" w16cid:durableId="1507329714">
    <w:abstractNumId w:val="3"/>
  </w:num>
  <w:num w:numId="11" w16cid:durableId="1746603934">
    <w:abstractNumId w:val="10"/>
  </w:num>
  <w:num w:numId="12" w16cid:durableId="864517074">
    <w:abstractNumId w:val="12"/>
  </w:num>
  <w:num w:numId="13" w16cid:durableId="2091733278">
    <w:abstractNumId w:val="7"/>
  </w:num>
  <w:num w:numId="14" w16cid:durableId="947003699">
    <w:abstractNumId w:val="9"/>
  </w:num>
  <w:num w:numId="15" w16cid:durableId="1166823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2B"/>
    <w:rsid w:val="000164A8"/>
    <w:rsid w:val="00245B60"/>
    <w:rsid w:val="003C00D5"/>
    <w:rsid w:val="00502364"/>
    <w:rsid w:val="00557F51"/>
    <w:rsid w:val="00576F70"/>
    <w:rsid w:val="007A0FB5"/>
    <w:rsid w:val="009D22D2"/>
    <w:rsid w:val="00A05A2B"/>
    <w:rsid w:val="00A266CC"/>
    <w:rsid w:val="00C320E4"/>
    <w:rsid w:val="00C3215F"/>
    <w:rsid w:val="00CC6500"/>
    <w:rsid w:val="00DE7CD3"/>
    <w:rsid w:val="00E13295"/>
    <w:rsid w:val="00F37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96C1"/>
  <w15:chartTrackingRefBased/>
  <w15:docId w15:val="{CAC81E33-74AF-4C90-BC70-DC420D03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A2B"/>
    <w:rPr>
      <w:rFonts w:eastAsiaTheme="majorEastAsia" w:cstheme="majorBidi"/>
      <w:color w:val="272727" w:themeColor="text1" w:themeTint="D8"/>
    </w:rPr>
  </w:style>
  <w:style w:type="paragraph" w:styleId="Title">
    <w:name w:val="Title"/>
    <w:basedOn w:val="Normal"/>
    <w:next w:val="Normal"/>
    <w:link w:val="TitleChar"/>
    <w:uiPriority w:val="10"/>
    <w:qFormat/>
    <w:rsid w:val="00A05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A2B"/>
    <w:pPr>
      <w:spacing w:before="160"/>
      <w:jc w:val="center"/>
    </w:pPr>
    <w:rPr>
      <w:i/>
      <w:iCs/>
      <w:color w:val="404040" w:themeColor="text1" w:themeTint="BF"/>
    </w:rPr>
  </w:style>
  <w:style w:type="character" w:customStyle="1" w:styleId="QuoteChar">
    <w:name w:val="Quote Char"/>
    <w:basedOn w:val="DefaultParagraphFont"/>
    <w:link w:val="Quote"/>
    <w:uiPriority w:val="29"/>
    <w:rsid w:val="00A05A2B"/>
    <w:rPr>
      <w:i/>
      <w:iCs/>
      <w:color w:val="404040" w:themeColor="text1" w:themeTint="BF"/>
    </w:rPr>
  </w:style>
  <w:style w:type="paragraph" w:styleId="ListParagraph">
    <w:name w:val="List Paragraph"/>
    <w:basedOn w:val="Normal"/>
    <w:uiPriority w:val="34"/>
    <w:qFormat/>
    <w:rsid w:val="00A05A2B"/>
    <w:pPr>
      <w:ind w:left="720"/>
      <w:contextualSpacing/>
    </w:pPr>
  </w:style>
  <w:style w:type="character" w:styleId="IntenseEmphasis">
    <w:name w:val="Intense Emphasis"/>
    <w:basedOn w:val="DefaultParagraphFont"/>
    <w:uiPriority w:val="21"/>
    <w:qFormat/>
    <w:rsid w:val="00A05A2B"/>
    <w:rPr>
      <w:i/>
      <w:iCs/>
      <w:color w:val="0F4761" w:themeColor="accent1" w:themeShade="BF"/>
    </w:rPr>
  </w:style>
  <w:style w:type="paragraph" w:styleId="IntenseQuote">
    <w:name w:val="Intense Quote"/>
    <w:basedOn w:val="Normal"/>
    <w:next w:val="Normal"/>
    <w:link w:val="IntenseQuoteChar"/>
    <w:uiPriority w:val="30"/>
    <w:qFormat/>
    <w:rsid w:val="00A05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A2B"/>
    <w:rPr>
      <w:i/>
      <w:iCs/>
      <w:color w:val="0F4761" w:themeColor="accent1" w:themeShade="BF"/>
    </w:rPr>
  </w:style>
  <w:style w:type="character" w:styleId="IntenseReference">
    <w:name w:val="Intense Reference"/>
    <w:basedOn w:val="DefaultParagraphFont"/>
    <w:uiPriority w:val="32"/>
    <w:qFormat/>
    <w:rsid w:val="00A05A2B"/>
    <w:rPr>
      <w:b/>
      <w:bCs/>
      <w:smallCaps/>
      <w:color w:val="0F4761" w:themeColor="accent1" w:themeShade="BF"/>
      <w:spacing w:val="5"/>
    </w:rPr>
  </w:style>
  <w:style w:type="character" w:styleId="Hyperlink">
    <w:name w:val="Hyperlink"/>
    <w:basedOn w:val="DefaultParagraphFont"/>
    <w:uiPriority w:val="99"/>
    <w:unhideWhenUsed/>
    <w:rsid w:val="00DE7CD3"/>
    <w:rPr>
      <w:color w:val="467886" w:themeColor="hyperlink"/>
      <w:u w:val="single"/>
    </w:rPr>
  </w:style>
  <w:style w:type="character" w:styleId="UnresolvedMention">
    <w:name w:val="Unresolved Mention"/>
    <w:basedOn w:val="DefaultParagraphFont"/>
    <w:uiPriority w:val="99"/>
    <w:semiHidden/>
    <w:unhideWhenUsed/>
    <w:rsid w:val="00DE7CD3"/>
    <w:rPr>
      <w:color w:val="605E5C"/>
      <w:shd w:val="clear" w:color="auto" w:fill="E1DFDD"/>
    </w:rPr>
  </w:style>
  <w:style w:type="paragraph" w:styleId="Revision">
    <w:name w:val="Revision"/>
    <w:hidden/>
    <w:uiPriority w:val="99"/>
    <w:semiHidden/>
    <w:rsid w:val="00A266CC"/>
    <w:pPr>
      <w:spacing w:after="0" w:line="240" w:lineRule="auto"/>
    </w:pPr>
  </w:style>
  <w:style w:type="character" w:styleId="CommentReference">
    <w:name w:val="annotation reference"/>
    <w:basedOn w:val="DefaultParagraphFont"/>
    <w:uiPriority w:val="99"/>
    <w:semiHidden/>
    <w:unhideWhenUsed/>
    <w:rsid w:val="00A266CC"/>
    <w:rPr>
      <w:sz w:val="16"/>
      <w:szCs w:val="16"/>
    </w:rPr>
  </w:style>
  <w:style w:type="paragraph" w:styleId="CommentText">
    <w:name w:val="annotation text"/>
    <w:basedOn w:val="Normal"/>
    <w:link w:val="CommentTextChar"/>
    <w:uiPriority w:val="99"/>
    <w:unhideWhenUsed/>
    <w:rsid w:val="00A266CC"/>
    <w:pPr>
      <w:spacing w:line="240" w:lineRule="auto"/>
    </w:pPr>
    <w:rPr>
      <w:sz w:val="20"/>
      <w:szCs w:val="20"/>
    </w:rPr>
  </w:style>
  <w:style w:type="character" w:customStyle="1" w:styleId="CommentTextChar">
    <w:name w:val="Comment Text Char"/>
    <w:basedOn w:val="DefaultParagraphFont"/>
    <w:link w:val="CommentText"/>
    <w:uiPriority w:val="99"/>
    <w:rsid w:val="00A266CC"/>
    <w:rPr>
      <w:sz w:val="20"/>
      <w:szCs w:val="20"/>
    </w:rPr>
  </w:style>
  <w:style w:type="paragraph" w:styleId="CommentSubject">
    <w:name w:val="annotation subject"/>
    <w:basedOn w:val="CommentText"/>
    <w:next w:val="CommentText"/>
    <w:link w:val="CommentSubjectChar"/>
    <w:uiPriority w:val="99"/>
    <w:semiHidden/>
    <w:unhideWhenUsed/>
    <w:rsid w:val="00A266CC"/>
    <w:rPr>
      <w:b/>
      <w:bCs/>
    </w:rPr>
  </w:style>
  <w:style w:type="character" w:customStyle="1" w:styleId="CommentSubjectChar">
    <w:name w:val="Comment Subject Char"/>
    <w:basedOn w:val="CommentTextChar"/>
    <w:link w:val="CommentSubject"/>
    <w:uiPriority w:val="99"/>
    <w:semiHidden/>
    <w:rsid w:val="00A266CC"/>
    <w:rPr>
      <w:b/>
      <w:bCs/>
      <w:sz w:val="20"/>
      <w:szCs w:val="20"/>
    </w:rPr>
  </w:style>
  <w:style w:type="character" w:styleId="FollowedHyperlink">
    <w:name w:val="FollowedHyperlink"/>
    <w:basedOn w:val="DefaultParagraphFont"/>
    <w:uiPriority w:val="99"/>
    <w:semiHidden/>
    <w:unhideWhenUsed/>
    <w:rsid w:val="00C321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edu/openlearncreate/course/view.php?id=269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ducation.gov.scot/professional-learning/national-approach-to-professional-learning/the-national-model-of-professional-learning/" TargetMode="External"/><Relationship Id="rId4" Type="http://schemas.openxmlformats.org/officeDocument/2006/relationships/numbering" Target="numbering.xml"/><Relationship Id="rId9" Type="http://schemas.openxmlformats.org/officeDocument/2006/relationships/hyperlink" Target="https://www.cipd.org/uk/knowledge/evidence-reviews/learning-cultures-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7B9A5-0DF0-4C81-8F23-C8D660809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97c22-c108-45c9-9711-649fcb8d734e"/>
    <ds:schemaRef ds:uri="25ccb901-815f-4c78-9662-858338c15881"/>
    <ds:schemaRef ds:uri="cab91360-db1c-4fb1-94f4-58fc1abbc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1FE68-1508-488A-8178-1B40DE621A92}">
  <ds:schemaRefs>
    <ds:schemaRef ds:uri="http://schemas.microsoft.com/office/2006/metadata/properties"/>
    <ds:schemaRef ds:uri="http://schemas.microsoft.com/office/infopath/2007/PartnerControls"/>
    <ds:schemaRef ds:uri="09097c22-c108-45c9-9711-649fcb8d734e"/>
    <ds:schemaRef ds:uri="25ccb901-815f-4c78-9662-858338c15881"/>
  </ds:schemaRefs>
</ds:datastoreItem>
</file>

<file path=customXml/itemProps3.xml><?xml version="1.0" encoding="utf-8"?>
<ds:datastoreItem xmlns:ds="http://schemas.openxmlformats.org/officeDocument/2006/customXml" ds:itemID="{80D7A42D-233A-41CF-8039-E4AAB458A7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2025-02-17T09:10:00Z</dcterms:created>
  <dcterms:modified xsi:type="dcterms:W3CDTF">2025-03-10T14:49:00Z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0x0101004431205BF2D71B48A59BE11B80D410D7</vt:lpwstr>
  </property>
  <property fmtid="{D5CDD505-2E9C-101B-9397-08002B2CF9AE}" pid="3" name="MediaServiceImageTags">
    <vt:lpwstr/>
  </property>
</Properties>
</file>