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C98011" w14:textId="54BB882D" w:rsidR="007C6DD0" w:rsidRPr="007C6DD0" w:rsidRDefault="007C6DD0" w:rsidP="007C6DD0">
      <w:pPr>
        <w:rPr>
          <w:rFonts w:ascii="Lexend Deca" w:hAnsi="Lexend Deca"/>
          <w:b/>
          <w:bCs/>
          <w:sz w:val="40"/>
          <w:szCs w:val="40"/>
        </w:rPr>
      </w:pPr>
      <w:r w:rsidRPr="007C6DD0">
        <w:rPr>
          <w:rFonts w:ascii="Lexend Deca" w:hAnsi="Lexend Deca"/>
          <w:b/>
          <w:bCs/>
          <w:sz w:val="40"/>
          <w:szCs w:val="40"/>
        </w:rPr>
        <w:t>Fostering change in complex systems</w:t>
      </w:r>
    </w:p>
    <w:p w14:paraId="3142DF6C" w14:textId="1EEE2643" w:rsidR="007C6DD0" w:rsidRPr="007C6DD0" w:rsidRDefault="007C6DD0" w:rsidP="007C6DD0">
      <w:pPr>
        <w:rPr>
          <w:rFonts w:ascii="Lexend Deca" w:hAnsi="Lexend Deca"/>
          <w:sz w:val="24"/>
          <w:szCs w:val="24"/>
        </w:rPr>
      </w:pPr>
      <w:r w:rsidRPr="007C6DD0">
        <w:rPr>
          <w:rFonts w:ascii="Lexend Deca" w:hAnsi="Lexend Deca"/>
          <w:sz w:val="24"/>
          <w:szCs w:val="24"/>
        </w:rPr>
        <w:t xml:space="preserve">The </w:t>
      </w:r>
      <w:hyperlink r:id="rId9" w:history="1">
        <w:r w:rsidRPr="008D01DF">
          <w:rPr>
            <w:rStyle w:val="Hyperlink"/>
            <w:rFonts w:ascii="Lexend Deca" w:hAnsi="Lexend Deca"/>
            <w:sz w:val="24"/>
            <w:szCs w:val="24"/>
          </w:rPr>
          <w:t>Theory of change for making children’s rights real in Scotland</w:t>
        </w:r>
      </w:hyperlink>
      <w:r w:rsidRPr="007C6DD0">
        <w:rPr>
          <w:rFonts w:ascii="Lexend Deca" w:hAnsi="Lexend Deca"/>
          <w:sz w:val="24"/>
          <w:szCs w:val="24"/>
        </w:rPr>
        <w:t xml:space="preserve"> was designed to support UNCRC implementation in Scotland. It identified four key change processes to make children’s rights ‘real’ in Scotland: policy; capacity; culture; and empowerment. </w:t>
      </w:r>
    </w:p>
    <w:p w14:paraId="6D820481" w14:textId="77777777" w:rsidR="007C6DD0" w:rsidRPr="007C6DD0" w:rsidRDefault="007C6DD0" w:rsidP="007C6DD0">
      <w:pPr>
        <w:rPr>
          <w:rFonts w:ascii="Lexend Deca" w:hAnsi="Lexend Deca"/>
          <w:sz w:val="24"/>
          <w:szCs w:val="24"/>
        </w:rPr>
      </w:pPr>
      <w:r w:rsidRPr="007C6DD0">
        <w:rPr>
          <w:rFonts w:ascii="Lexend Deca" w:hAnsi="Lexend Deca"/>
          <w:sz w:val="24"/>
          <w:szCs w:val="24"/>
        </w:rPr>
        <w:t xml:space="preserve">Making children’s rights real by building cross-sector capacity and capability to integrate rights-based ways of working is one of the measures of success. Professional training about children’s rights was also one of the main points that children and young people raised, when asked about how to move towards a rights respecting culture. </w:t>
      </w:r>
    </w:p>
    <w:p w14:paraId="46A61224" w14:textId="2FF3B3A3" w:rsidR="007C6DD0" w:rsidRDefault="007C6DD0" w:rsidP="007C6DD0">
      <w:pPr>
        <w:rPr>
          <w:rFonts w:ascii="Lexend Deca" w:hAnsi="Lexend Deca"/>
          <w:sz w:val="24"/>
          <w:szCs w:val="24"/>
        </w:rPr>
      </w:pPr>
      <w:r w:rsidRPr="007C6DD0">
        <w:rPr>
          <w:rFonts w:ascii="Lexend Deca" w:hAnsi="Lexend Deca"/>
          <w:sz w:val="24"/>
          <w:szCs w:val="24"/>
        </w:rPr>
        <w:t>The Theory of Change highlighted the need to increase knowledge and understanding of the obligations and accountability that duty bearers have, as well as the advantages of a children’s human rights approach to enhance outcomes for children and young people.</w:t>
      </w:r>
    </w:p>
    <w:p w14:paraId="46B09B49" w14:textId="77777777" w:rsidR="00B24D81" w:rsidRPr="00B24D81" w:rsidRDefault="00B24D81" w:rsidP="00B24D81">
      <w:pPr>
        <w:rPr>
          <w:rFonts w:ascii="Lexend Deca" w:hAnsi="Lexend Deca"/>
          <w:sz w:val="24"/>
          <w:szCs w:val="24"/>
        </w:rPr>
      </w:pPr>
      <w:r w:rsidRPr="00B24D81">
        <w:rPr>
          <w:rFonts w:ascii="Lexend Deca" w:hAnsi="Lexend Deca"/>
          <w:sz w:val="24"/>
          <w:szCs w:val="24"/>
        </w:rPr>
        <w:t xml:space="preserve">The Theory of Change’s evidence paper endorses systems change thinking. This means that capacity building activities should be flexible, complement and work within existing systems, and work at multiple levels. Leadership and a focus on the intention to take action are also key factors for fostering change. </w:t>
      </w:r>
    </w:p>
    <w:p w14:paraId="00422115" w14:textId="77777777" w:rsidR="00B24D81" w:rsidRPr="00B24D81" w:rsidRDefault="00B24D81" w:rsidP="00B24D81">
      <w:pPr>
        <w:rPr>
          <w:rFonts w:ascii="Lexend Deca" w:hAnsi="Lexend Deca"/>
          <w:sz w:val="24"/>
          <w:szCs w:val="24"/>
        </w:rPr>
      </w:pPr>
      <w:r w:rsidRPr="00B24D81">
        <w:rPr>
          <w:rFonts w:ascii="Lexend Deca" w:hAnsi="Lexend Deca"/>
          <w:sz w:val="24"/>
          <w:szCs w:val="24"/>
        </w:rPr>
        <w:t xml:space="preserve">Training is not enough to effect change. It must be part of a wider system of learning and knowledge building that is resourced, given sufficient time, and accompanied by strong leadership. Wider initiatives like children’s rights champions; having people working across sectors and organisations to create linkages to share learning or solve problems; and building communities of practice are complementary ways of creating systems change alongside training. </w:t>
      </w:r>
    </w:p>
    <w:p w14:paraId="03FBC2C7" w14:textId="77777777" w:rsidR="00B24D81" w:rsidRPr="00B24D81" w:rsidRDefault="00B24D81" w:rsidP="00B24D81">
      <w:pPr>
        <w:rPr>
          <w:rFonts w:ascii="Lexend Deca" w:hAnsi="Lexend Deca"/>
          <w:sz w:val="24"/>
          <w:szCs w:val="24"/>
        </w:rPr>
      </w:pPr>
      <w:r w:rsidRPr="00B24D81">
        <w:rPr>
          <w:rFonts w:ascii="Lexend Deca" w:hAnsi="Lexend Deca"/>
          <w:sz w:val="24"/>
          <w:szCs w:val="24"/>
        </w:rPr>
        <w:t>The evidence paper also emphasised the importance of identifying a baseline for skills, knowledge and good practice. In summary, the evidence highlighted the need for shared ownership of values and principles, and for collaborative work to identify and support good and complementary practice that supports children’s rights. It is heavily linked to the third of the Theory of Change’s four key change processes, which focuses on the cultural change required.</w:t>
      </w:r>
    </w:p>
    <w:p w14:paraId="4C51B836" w14:textId="6C6BFCD8" w:rsidR="00B24D81" w:rsidRDefault="00B24D81" w:rsidP="00B24D81">
      <w:pPr>
        <w:rPr>
          <w:rFonts w:ascii="Lexend Deca" w:hAnsi="Lexend Deca"/>
          <w:sz w:val="24"/>
          <w:szCs w:val="24"/>
        </w:rPr>
      </w:pPr>
      <w:r w:rsidRPr="00B24D81">
        <w:rPr>
          <w:rFonts w:ascii="Lexend Deca" w:hAnsi="Lexend Deca"/>
          <w:b/>
          <w:bCs/>
          <w:sz w:val="24"/>
          <w:szCs w:val="24"/>
        </w:rPr>
        <w:t xml:space="preserve">“Many stakeholders felt that this [cultural change] was the most challenging of the four change processes, with some existing cultural norms being the biggest barrier, and children and young people’s ideas and energy being the most important force for positive change.” </w:t>
      </w:r>
      <w:r w:rsidRPr="00B24D81">
        <w:rPr>
          <w:rFonts w:ascii="Lexend Deca" w:hAnsi="Lexend Deca"/>
          <w:sz w:val="24"/>
          <w:szCs w:val="24"/>
        </w:rPr>
        <w:t>The Theory of Change</w:t>
      </w:r>
    </w:p>
    <w:p w14:paraId="7281A041" w14:textId="3FFC0590" w:rsidR="00B24D81" w:rsidRPr="00B24D81" w:rsidRDefault="00B24D81" w:rsidP="00B24D81">
      <w:pPr>
        <w:rPr>
          <w:rFonts w:ascii="Lexend Deca" w:hAnsi="Lexend Deca"/>
          <w:sz w:val="24"/>
          <w:szCs w:val="24"/>
        </w:rPr>
      </w:pPr>
      <w:r w:rsidRPr="00B24D81">
        <w:rPr>
          <w:rFonts w:ascii="Lexend Deca" w:hAnsi="Lexend Deca"/>
          <w:sz w:val="24"/>
          <w:szCs w:val="24"/>
        </w:rPr>
        <w:t xml:space="preserve">To facilitate this cultural change, the report highlighted that it was important to have accessible messages, value positive experiences, and contextualise rights. It noted the overlapping roles that duty bearers can have, for example </w:t>
      </w:r>
      <w:hyperlink r:id="rId10" w:history="1">
        <w:r w:rsidRPr="00A517E8">
          <w:rPr>
            <w:rStyle w:val="Hyperlink"/>
            <w:rFonts w:ascii="Lexend Deca" w:hAnsi="Lexend Deca"/>
            <w:sz w:val="24"/>
            <w:szCs w:val="24"/>
          </w:rPr>
          <w:t>as both a policy maker and a parent/carer</w:t>
        </w:r>
      </w:hyperlink>
      <w:r w:rsidRPr="00B24D81">
        <w:rPr>
          <w:rFonts w:ascii="Lexend Deca" w:hAnsi="Lexend Deca"/>
          <w:sz w:val="24"/>
          <w:szCs w:val="24"/>
        </w:rPr>
        <w:t>. It also emphasised the role of social activism and children and young people themselves as ‘joint architects’ of a children’s rights culture.</w:t>
      </w:r>
    </w:p>
    <w:p w14:paraId="71EDC90F" w14:textId="77777777" w:rsidR="00B24D81" w:rsidRPr="00B24D81" w:rsidRDefault="00B24D81" w:rsidP="00B24D81">
      <w:pPr>
        <w:rPr>
          <w:rFonts w:ascii="Lexend Deca" w:hAnsi="Lexend Deca"/>
          <w:sz w:val="24"/>
          <w:szCs w:val="24"/>
        </w:rPr>
      </w:pPr>
      <w:r w:rsidRPr="00B24D81">
        <w:rPr>
          <w:rFonts w:ascii="Lexend Deca" w:hAnsi="Lexend Deca"/>
          <w:b/>
          <w:bCs/>
          <w:sz w:val="24"/>
          <w:szCs w:val="24"/>
        </w:rPr>
        <w:t xml:space="preserve">Reflection question: </w:t>
      </w:r>
      <w:r w:rsidRPr="00B24D81">
        <w:rPr>
          <w:rFonts w:ascii="Lexend Deca" w:hAnsi="Lexend Deca"/>
          <w:sz w:val="24"/>
          <w:szCs w:val="24"/>
        </w:rPr>
        <w:t>What types of wider and complementary capacity building will ensure that the training created will be successful?</w:t>
      </w:r>
    </w:p>
    <w:p w14:paraId="750335D7" w14:textId="736F537B" w:rsidR="0031026C" w:rsidRPr="0031026C" w:rsidRDefault="0031026C" w:rsidP="0031026C">
      <w:pPr>
        <w:rPr>
          <w:rFonts w:ascii="Lexend Deca" w:hAnsi="Lexend Deca"/>
          <w:sz w:val="24"/>
          <w:szCs w:val="24"/>
        </w:rPr>
      </w:pPr>
      <w:r w:rsidRPr="0031026C">
        <w:rPr>
          <w:rFonts w:ascii="Lexend Deca" w:hAnsi="Lexend Deca"/>
          <w:sz w:val="24"/>
          <w:szCs w:val="24"/>
        </w:rPr>
        <w:lastRenderedPageBreak/>
        <w:t>The Professional Panel and workers’ suggestions include:</w:t>
      </w:r>
    </w:p>
    <w:p w14:paraId="7A5053DF" w14:textId="0A183C27" w:rsidR="0031026C" w:rsidRPr="0031026C" w:rsidRDefault="0031026C" w:rsidP="0031026C">
      <w:pPr>
        <w:pStyle w:val="ListParagraph"/>
        <w:numPr>
          <w:ilvl w:val="0"/>
          <w:numId w:val="1"/>
        </w:numPr>
        <w:rPr>
          <w:rFonts w:ascii="Lexend Deca" w:hAnsi="Lexend Deca"/>
          <w:sz w:val="24"/>
          <w:szCs w:val="24"/>
        </w:rPr>
      </w:pPr>
      <w:r w:rsidRPr="0031026C">
        <w:rPr>
          <w:rFonts w:ascii="Lexend Deca" w:hAnsi="Lexend Deca"/>
          <w:sz w:val="24"/>
          <w:szCs w:val="24"/>
        </w:rPr>
        <w:t>Secondments.</w:t>
      </w:r>
    </w:p>
    <w:p w14:paraId="2370EB0A" w14:textId="41F8F2F3" w:rsidR="0031026C" w:rsidRPr="0031026C" w:rsidRDefault="0031026C" w:rsidP="0031026C">
      <w:pPr>
        <w:pStyle w:val="ListParagraph"/>
        <w:numPr>
          <w:ilvl w:val="0"/>
          <w:numId w:val="1"/>
        </w:numPr>
        <w:rPr>
          <w:rFonts w:ascii="Lexend Deca" w:hAnsi="Lexend Deca"/>
          <w:sz w:val="24"/>
          <w:szCs w:val="24"/>
        </w:rPr>
      </w:pPr>
      <w:r w:rsidRPr="0031026C">
        <w:rPr>
          <w:rFonts w:ascii="Lexend Deca" w:hAnsi="Lexend Deca"/>
          <w:sz w:val="24"/>
          <w:szCs w:val="24"/>
        </w:rPr>
        <w:t>Away days.</w:t>
      </w:r>
    </w:p>
    <w:p w14:paraId="15D85576" w14:textId="64ACAEA1" w:rsidR="0031026C" w:rsidRPr="0031026C" w:rsidRDefault="0031026C" w:rsidP="0031026C">
      <w:pPr>
        <w:pStyle w:val="ListParagraph"/>
        <w:numPr>
          <w:ilvl w:val="0"/>
          <w:numId w:val="1"/>
        </w:numPr>
        <w:rPr>
          <w:rFonts w:ascii="Lexend Deca" w:hAnsi="Lexend Deca"/>
          <w:sz w:val="24"/>
          <w:szCs w:val="24"/>
        </w:rPr>
      </w:pPr>
      <w:r w:rsidRPr="0031026C">
        <w:rPr>
          <w:rFonts w:ascii="Lexend Deca" w:hAnsi="Lexend Deca"/>
          <w:sz w:val="24"/>
          <w:szCs w:val="24"/>
        </w:rPr>
        <w:t>Peer support groups for practitioners and forums.</w:t>
      </w:r>
    </w:p>
    <w:p w14:paraId="412B8E8E" w14:textId="1A64A737" w:rsidR="0031026C" w:rsidRPr="0031026C" w:rsidRDefault="0031026C" w:rsidP="0031026C">
      <w:pPr>
        <w:pStyle w:val="ListParagraph"/>
        <w:numPr>
          <w:ilvl w:val="0"/>
          <w:numId w:val="1"/>
        </w:numPr>
        <w:rPr>
          <w:rFonts w:ascii="Lexend Deca" w:hAnsi="Lexend Deca"/>
          <w:sz w:val="24"/>
          <w:szCs w:val="24"/>
        </w:rPr>
      </w:pPr>
      <w:r w:rsidRPr="0031026C">
        <w:rPr>
          <w:rFonts w:ascii="Lexend Deca" w:hAnsi="Lexend Deca"/>
          <w:sz w:val="24"/>
          <w:szCs w:val="24"/>
        </w:rPr>
        <w:t>Information bulletins and peer advice sessions.</w:t>
      </w:r>
    </w:p>
    <w:p w14:paraId="4A32BC22" w14:textId="4E4EE361" w:rsidR="0031026C" w:rsidRPr="0031026C" w:rsidRDefault="0031026C" w:rsidP="0031026C">
      <w:pPr>
        <w:pStyle w:val="ListParagraph"/>
        <w:numPr>
          <w:ilvl w:val="0"/>
          <w:numId w:val="1"/>
        </w:numPr>
        <w:rPr>
          <w:rFonts w:ascii="Lexend Deca" w:hAnsi="Lexend Deca"/>
          <w:sz w:val="24"/>
          <w:szCs w:val="24"/>
        </w:rPr>
      </w:pPr>
      <w:r w:rsidRPr="0031026C">
        <w:rPr>
          <w:rFonts w:ascii="Lexend Deca" w:hAnsi="Lexend Deca"/>
          <w:sz w:val="24"/>
          <w:szCs w:val="24"/>
        </w:rPr>
        <w:t>Champions within organisations, the workforce and services.</w:t>
      </w:r>
    </w:p>
    <w:p w14:paraId="17DE502E" w14:textId="4DF39C5E" w:rsidR="0031026C" w:rsidRPr="0031026C" w:rsidRDefault="0031026C" w:rsidP="0031026C">
      <w:pPr>
        <w:pStyle w:val="ListParagraph"/>
        <w:numPr>
          <w:ilvl w:val="0"/>
          <w:numId w:val="1"/>
        </w:numPr>
        <w:rPr>
          <w:rFonts w:ascii="Lexend Deca" w:hAnsi="Lexend Deca"/>
          <w:sz w:val="24"/>
          <w:szCs w:val="24"/>
        </w:rPr>
      </w:pPr>
      <w:r w:rsidRPr="0031026C">
        <w:rPr>
          <w:rFonts w:ascii="Lexend Deca" w:hAnsi="Lexend Deca"/>
          <w:sz w:val="24"/>
          <w:szCs w:val="24"/>
        </w:rPr>
        <w:t>Wider awareness raising campaigns.</w:t>
      </w:r>
    </w:p>
    <w:p w14:paraId="2CDB5729" w14:textId="2669D5AA" w:rsidR="00B24D81" w:rsidRPr="0031026C" w:rsidRDefault="0031026C" w:rsidP="0031026C">
      <w:pPr>
        <w:pStyle w:val="ListParagraph"/>
        <w:numPr>
          <w:ilvl w:val="0"/>
          <w:numId w:val="1"/>
        </w:numPr>
        <w:rPr>
          <w:rFonts w:ascii="Lexend Deca" w:hAnsi="Lexend Deca"/>
          <w:sz w:val="24"/>
          <w:szCs w:val="24"/>
        </w:rPr>
      </w:pPr>
      <w:r w:rsidRPr="0031026C">
        <w:rPr>
          <w:rFonts w:ascii="Lexend Deca" w:hAnsi="Lexend Deca"/>
          <w:sz w:val="24"/>
          <w:szCs w:val="24"/>
        </w:rPr>
        <w:t>Promoting existing resources and training about children’s rights across sectors.</w:t>
      </w:r>
    </w:p>
    <w:sectPr w:rsidR="00B24D81" w:rsidRPr="003102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exend Deca">
    <w:altName w:val="Calibri"/>
    <w:charset w:val="00"/>
    <w:family w:val="auto"/>
    <w:pitch w:val="variable"/>
    <w:sig w:usb0="A00000FF" w:usb1="4000205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936CB"/>
    <w:multiLevelType w:val="hybridMultilevel"/>
    <w:tmpl w:val="8CE6C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0307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A2E"/>
    <w:rsid w:val="00005C80"/>
    <w:rsid w:val="000164A8"/>
    <w:rsid w:val="00246A2E"/>
    <w:rsid w:val="0031026C"/>
    <w:rsid w:val="00352E46"/>
    <w:rsid w:val="003B7633"/>
    <w:rsid w:val="003C00D5"/>
    <w:rsid w:val="00663C50"/>
    <w:rsid w:val="007078D3"/>
    <w:rsid w:val="007932E5"/>
    <w:rsid w:val="007A0FB5"/>
    <w:rsid w:val="007C6DD0"/>
    <w:rsid w:val="008D01DF"/>
    <w:rsid w:val="00916B8E"/>
    <w:rsid w:val="00937835"/>
    <w:rsid w:val="009A56D8"/>
    <w:rsid w:val="00A517E8"/>
    <w:rsid w:val="00B24D81"/>
    <w:rsid w:val="00E13295"/>
    <w:rsid w:val="00FD1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B2FEB"/>
  <w15:chartTrackingRefBased/>
  <w15:docId w15:val="{14BD6565-3181-44F1-B0B0-884C1C444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6A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6A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6A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6A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6A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6A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6A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6A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6A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A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6A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6A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6A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6A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6A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6A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6A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6A2E"/>
    <w:rPr>
      <w:rFonts w:eastAsiaTheme="majorEastAsia" w:cstheme="majorBidi"/>
      <w:color w:val="272727" w:themeColor="text1" w:themeTint="D8"/>
    </w:rPr>
  </w:style>
  <w:style w:type="paragraph" w:styleId="Title">
    <w:name w:val="Title"/>
    <w:basedOn w:val="Normal"/>
    <w:next w:val="Normal"/>
    <w:link w:val="TitleChar"/>
    <w:uiPriority w:val="10"/>
    <w:qFormat/>
    <w:rsid w:val="00246A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6A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6A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6A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6A2E"/>
    <w:pPr>
      <w:spacing w:before="160"/>
      <w:jc w:val="center"/>
    </w:pPr>
    <w:rPr>
      <w:i/>
      <w:iCs/>
      <w:color w:val="404040" w:themeColor="text1" w:themeTint="BF"/>
    </w:rPr>
  </w:style>
  <w:style w:type="character" w:customStyle="1" w:styleId="QuoteChar">
    <w:name w:val="Quote Char"/>
    <w:basedOn w:val="DefaultParagraphFont"/>
    <w:link w:val="Quote"/>
    <w:uiPriority w:val="29"/>
    <w:rsid w:val="00246A2E"/>
    <w:rPr>
      <w:i/>
      <w:iCs/>
      <w:color w:val="404040" w:themeColor="text1" w:themeTint="BF"/>
    </w:rPr>
  </w:style>
  <w:style w:type="paragraph" w:styleId="ListParagraph">
    <w:name w:val="List Paragraph"/>
    <w:basedOn w:val="Normal"/>
    <w:uiPriority w:val="34"/>
    <w:qFormat/>
    <w:rsid w:val="00246A2E"/>
    <w:pPr>
      <w:ind w:left="720"/>
      <w:contextualSpacing/>
    </w:pPr>
  </w:style>
  <w:style w:type="character" w:styleId="IntenseEmphasis">
    <w:name w:val="Intense Emphasis"/>
    <w:basedOn w:val="DefaultParagraphFont"/>
    <w:uiPriority w:val="21"/>
    <w:qFormat/>
    <w:rsid w:val="00246A2E"/>
    <w:rPr>
      <w:i/>
      <w:iCs/>
      <w:color w:val="0F4761" w:themeColor="accent1" w:themeShade="BF"/>
    </w:rPr>
  </w:style>
  <w:style w:type="paragraph" w:styleId="IntenseQuote">
    <w:name w:val="Intense Quote"/>
    <w:basedOn w:val="Normal"/>
    <w:next w:val="Normal"/>
    <w:link w:val="IntenseQuoteChar"/>
    <w:uiPriority w:val="30"/>
    <w:qFormat/>
    <w:rsid w:val="00246A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6A2E"/>
    <w:rPr>
      <w:i/>
      <w:iCs/>
      <w:color w:val="0F4761" w:themeColor="accent1" w:themeShade="BF"/>
    </w:rPr>
  </w:style>
  <w:style w:type="character" w:styleId="IntenseReference">
    <w:name w:val="Intense Reference"/>
    <w:basedOn w:val="DefaultParagraphFont"/>
    <w:uiPriority w:val="32"/>
    <w:qFormat/>
    <w:rsid w:val="00246A2E"/>
    <w:rPr>
      <w:b/>
      <w:bCs/>
      <w:smallCaps/>
      <w:color w:val="0F4761" w:themeColor="accent1" w:themeShade="BF"/>
      <w:spacing w:val="5"/>
    </w:rPr>
  </w:style>
  <w:style w:type="character" w:styleId="Hyperlink">
    <w:name w:val="Hyperlink"/>
    <w:basedOn w:val="DefaultParagraphFont"/>
    <w:uiPriority w:val="99"/>
    <w:unhideWhenUsed/>
    <w:rsid w:val="00A517E8"/>
    <w:rPr>
      <w:color w:val="467886" w:themeColor="hyperlink"/>
      <w:u w:val="single"/>
    </w:rPr>
  </w:style>
  <w:style w:type="character" w:styleId="UnresolvedMention">
    <w:name w:val="Unresolved Mention"/>
    <w:basedOn w:val="DefaultParagraphFont"/>
    <w:uiPriority w:val="99"/>
    <w:semiHidden/>
    <w:unhideWhenUsed/>
    <w:rsid w:val="00A517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childrensparliament.org.uk/news/two-sides-of-the-same-coin-the-perspective-of-being-both-parent-and-professional/" TargetMode="External"/><Relationship Id="rId4" Type="http://schemas.openxmlformats.org/officeDocument/2006/relationships/customXml" Target="../customXml/item4.xml"/><Relationship Id="rId9" Type="http://schemas.openxmlformats.org/officeDocument/2006/relationships/hyperlink" Target="https://education-sport.ed.ac.uk/research/centres-groups-networks/observatory-childrens-human-rights-scotland/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A51779183</value>
    </field>
    <field name="Objective-Title">
      <value order="0">UNCRC Implementation- Skills and Knowledge Framework-Fostering change in complex systems-accessible word version</value>
    </field>
    <field name="Objective-Description">
      <value order="0"/>
    </field>
    <field name="Objective-CreationStamp">
      <value order="0">2025-02-12T14:16:33Z</value>
    </field>
    <field name="Objective-IsApproved">
      <value order="0">false</value>
    </field>
    <field name="Objective-IsPublished">
      <value order="0">false</value>
    </field>
    <field name="Objective-DatePublished">
      <value order="0"/>
    </field>
    <field name="Objective-ModificationStamp">
      <value order="0">2025-02-12T14:16:35Z</value>
    </field>
    <field name="Objective-Owner">
      <value order="0">Saki, Lyndsey L (U453621)</value>
    </field>
    <field name="Objective-Path">
      <value order="0">Objective Global Folder:SG File Plan:Crime, law, justice and rights:Civil and human rights:General:Advice and policy: Civil and human rights - general:United Nations (UN) Convention on the Rights of the Child: UNCRC Incorporation Implementation: Embedding Children's Rights in Public Services: 2021-2026</value>
    </field>
    <field name="Objective-Parent">
      <value order="0">United Nations (UN) Convention on the Rights of the Child: UNCRC Incorporation Implementation: Embedding Children's Rights in Public Services: 2021-2026</value>
    </field>
    <field name="Objective-State">
      <value order="0">Being Drafted</value>
    </field>
    <field name="Objective-VersionId">
      <value order="0">vA78054129</value>
    </field>
    <field name="Objective-Version">
      <value order="0">0.1</value>
    </field>
    <field name="Objective-VersionNumber">
      <value order="0">1</value>
    </field>
    <field name="Objective-VersionComment">
      <value order="0"/>
    </field>
    <field name="Objective-FileNumber">
      <value order="0">POL/35445</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097c22-c108-45c9-9711-649fcb8d734e">
      <Terms xmlns="http://schemas.microsoft.com/office/infopath/2007/PartnerControls"/>
    </lcf76f155ced4ddcb4097134ff3c332f>
    <TaxCatchAll xmlns="25ccb901-815f-4c78-9662-858338c1588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431205BF2D71B48A59BE11B80D410D7" ma:contentTypeVersion="15" ma:contentTypeDescription="Create a new document." ma:contentTypeScope="" ma:versionID="290610bcb3de643dfbbf849ed45741bd">
  <xsd:schema xmlns:xsd="http://www.w3.org/2001/XMLSchema" xmlns:xs="http://www.w3.org/2001/XMLSchema" xmlns:p="http://schemas.microsoft.com/office/2006/metadata/properties" xmlns:ns2="09097c22-c108-45c9-9711-649fcb8d734e" xmlns:ns3="25ccb901-815f-4c78-9662-858338c15881" xmlns:ns4="cab91360-db1c-4fb1-94f4-58fc1abbc762" targetNamespace="http://schemas.microsoft.com/office/2006/metadata/properties" ma:root="true" ma:fieldsID="1686095f476f841ad785fca94bdc3616" ns2:_="" ns3:_="" ns4:_="">
    <xsd:import namespace="09097c22-c108-45c9-9711-649fcb8d734e"/>
    <xsd:import namespace="25ccb901-815f-4c78-9662-858338c15881"/>
    <xsd:import namespace="cab91360-db1c-4fb1-94f4-58fc1abbc7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97c22-c108-45c9-9711-649fcb8d7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1af0794-0719-4605-b3ab-8d281f7f74d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ccb901-815f-4c78-9662-858338c1588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bf4f52a-8b6f-4a6a-828d-7d89039dd4b2}" ma:internalName="TaxCatchAll" ma:showField="CatchAllData" ma:web="25ccb901-815f-4c78-9662-858338c158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b91360-db1c-4fb1-94f4-58fc1abbc76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FC41F611-ABC7-4895-A30F-F05A282F687F}">
  <ds:schemaRefs>
    <ds:schemaRef ds:uri="http://schemas.microsoft.com/sharepoint/v3/contenttype/forms"/>
  </ds:schemaRefs>
</ds:datastoreItem>
</file>

<file path=customXml/itemProps3.xml><?xml version="1.0" encoding="utf-8"?>
<ds:datastoreItem xmlns:ds="http://schemas.openxmlformats.org/officeDocument/2006/customXml" ds:itemID="{1061D047-8B66-461C-B318-B56D4A863CB3}">
  <ds:schemaRefs>
    <ds:schemaRef ds:uri="http://schemas.microsoft.com/office/2006/metadata/properties"/>
    <ds:schemaRef ds:uri="http://schemas.microsoft.com/office/infopath/2007/PartnerControls"/>
    <ds:schemaRef ds:uri="09097c22-c108-45c9-9711-649fcb8d734e"/>
    <ds:schemaRef ds:uri="25ccb901-815f-4c78-9662-858338c15881"/>
  </ds:schemaRefs>
</ds:datastoreItem>
</file>

<file path=customXml/itemProps4.xml><?xml version="1.0" encoding="utf-8"?>
<ds:datastoreItem xmlns:ds="http://schemas.openxmlformats.org/officeDocument/2006/customXml" ds:itemID="{59E08444-DFBB-4724-8668-06B7546A3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97c22-c108-45c9-9711-649fcb8d734e"/>
    <ds:schemaRef ds:uri="25ccb901-815f-4c78-9662-858338c15881"/>
    <ds:schemaRef ds:uri="cab91360-db1c-4fb1-94f4-58fc1abbc7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536</Words>
  <Characters>3059</Characters>
  <Application>Microsoft Office Word</Application>
  <DocSecurity>0</DocSecurity>
  <Lines>25</Lines>
  <Paragraphs>7</Paragraphs>
  <ScaleCrop>false</ScaleCrop>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Campbell</dc:creator>
  <cp:keywords/>
  <dc:description/>
  <cp:lastModifiedBy>Lyndsey Saki</cp:lastModifiedBy>
  <cp:revision>2</cp:revision>
  <dcterms:created xsi:type="dcterms:W3CDTF">2025-02-26T08:20:00Z</dcterms:created>
  <dcterms:modified xsi:type="dcterms:W3CDTF">2025-02-26T08:20:00Z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0x0101004431205BF2D71B48A59BE11B80D410D7</vt:lpwstr>
  </property>
  <property fmtid="{D5CDD505-2E9C-101B-9397-08002B2CF9AE}" pid="3" name="MediaServiceImageTags">
    <vt:lpwstr/>
  </property>
  <property fmtid="{D5CDD505-2E9C-101B-9397-08002B2CF9AE}" pid="4" name="Objective-Id">
    <vt:lpwstr>A51779183</vt:lpwstr>
  </property>
  <property fmtid="{D5CDD505-2E9C-101B-9397-08002B2CF9AE}" pid="5" name="Objective-Title">
    <vt:lpwstr>UNCRC Implementation- Skills and Knowledge Framework-Fostering change in complex systems-accessible word version</vt:lpwstr>
  </property>
  <property fmtid="{D5CDD505-2E9C-101B-9397-08002B2CF9AE}" pid="6" name="Objective-Description">
    <vt:lpwstr/>
  </property>
  <property fmtid="{D5CDD505-2E9C-101B-9397-08002B2CF9AE}" pid="7" name="Objective-CreationStamp">
    <vt:filetime>2025-02-12T14:16:33Z</vt:filetime>
  </property>
  <property fmtid="{D5CDD505-2E9C-101B-9397-08002B2CF9AE}" pid="8" name="Objective-IsApproved">
    <vt:bool>false</vt:bool>
  </property>
  <property fmtid="{D5CDD505-2E9C-101B-9397-08002B2CF9AE}" pid="9" name="Objective-IsPublished">
    <vt:bool>false</vt:bool>
  </property>
  <property fmtid="{D5CDD505-2E9C-101B-9397-08002B2CF9AE}" pid="10" name="Objective-DatePublished">
    <vt:lpwstr/>
  </property>
  <property fmtid="{D5CDD505-2E9C-101B-9397-08002B2CF9AE}" pid="11" name="Objective-ModificationStamp">
    <vt:filetime>2025-02-12T14:16:35Z</vt:filetime>
  </property>
  <property fmtid="{D5CDD505-2E9C-101B-9397-08002B2CF9AE}" pid="12" name="Objective-Owner">
    <vt:lpwstr>Saki, Lyndsey L (U453621)</vt:lpwstr>
  </property>
  <property fmtid="{D5CDD505-2E9C-101B-9397-08002B2CF9AE}" pid="13" name="Objective-Path">
    <vt:lpwstr>Objective Global Folder:SG File Plan:Crime, law, justice and rights:Civil and human rights:General:Advice and policy: Civil and human rights - general:United Nations (UN) Convention on the Rights of the Child: UNCRC Incorporation Implementation: Embedding Children's Rights in Public Services: 2021-2026</vt:lpwstr>
  </property>
  <property fmtid="{D5CDD505-2E9C-101B-9397-08002B2CF9AE}" pid="14" name="Objective-Parent">
    <vt:lpwstr>United Nations (UN) Convention on the Rights of the Child: UNCRC Incorporation Implementation: Embedding Children's Rights in Public Services: 2021-2026</vt:lpwstr>
  </property>
  <property fmtid="{D5CDD505-2E9C-101B-9397-08002B2CF9AE}" pid="15" name="Objective-State">
    <vt:lpwstr>Being Drafted</vt:lpwstr>
  </property>
  <property fmtid="{D5CDD505-2E9C-101B-9397-08002B2CF9AE}" pid="16" name="Objective-VersionId">
    <vt:lpwstr>vA78054129</vt:lpwstr>
  </property>
  <property fmtid="{D5CDD505-2E9C-101B-9397-08002B2CF9AE}" pid="17" name="Objective-Version">
    <vt:lpwstr>0.1</vt:lpwstr>
  </property>
  <property fmtid="{D5CDD505-2E9C-101B-9397-08002B2CF9AE}" pid="18" name="Objective-VersionNumber">
    <vt:r8>1</vt:r8>
  </property>
  <property fmtid="{D5CDD505-2E9C-101B-9397-08002B2CF9AE}" pid="19" name="Objective-VersionComment">
    <vt:lpwstr/>
  </property>
  <property fmtid="{D5CDD505-2E9C-101B-9397-08002B2CF9AE}" pid="20" name="Objective-FileNumber">
    <vt:lpwstr>POL/35445</vt:lpwstr>
  </property>
  <property fmtid="{D5CDD505-2E9C-101B-9397-08002B2CF9AE}" pid="21" name="Objective-Classification">
    <vt:lpwstr>OFFICIAL</vt:lpwstr>
  </property>
  <property fmtid="{D5CDD505-2E9C-101B-9397-08002B2CF9AE}" pid="22" name="Objective-Caveats">
    <vt:lpwstr>Caveat for access to SG Fileplan</vt:lpwstr>
  </property>
  <property fmtid="{D5CDD505-2E9C-101B-9397-08002B2CF9AE}" pid="23" name="Objective-Date of Original">
    <vt:lpwstr/>
  </property>
  <property fmtid="{D5CDD505-2E9C-101B-9397-08002B2CF9AE}" pid="24" name="Objective-Date Received">
    <vt:lpwstr/>
  </property>
  <property fmtid="{D5CDD505-2E9C-101B-9397-08002B2CF9AE}" pid="25" name="Objective-SG Web Publication - Category">
    <vt:lpwstr/>
  </property>
  <property fmtid="{D5CDD505-2E9C-101B-9397-08002B2CF9AE}" pid="26" name="Objective-SG Web Publication - Category 2 Classification">
    <vt:lpwstr/>
  </property>
  <property fmtid="{D5CDD505-2E9C-101B-9397-08002B2CF9AE}" pid="27" name="Objective-Connect Creator">
    <vt:lpwstr/>
  </property>
  <property fmtid="{D5CDD505-2E9C-101B-9397-08002B2CF9AE}" pid="28" name="Objective-Required Redaction">
    <vt:lpwstr/>
  </property>
</Properties>
</file>