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1912" w14:textId="0C711670" w:rsidR="00C704C9" w:rsidRPr="004C5FC5" w:rsidRDefault="00C704C9" w:rsidP="00C704C9">
      <w:pPr>
        <w:rPr>
          <w:rFonts w:ascii="Lexend Deca" w:hAnsi="Lexend Deca"/>
          <w:b/>
          <w:bCs/>
          <w:sz w:val="40"/>
          <w:szCs w:val="40"/>
        </w:rPr>
      </w:pPr>
      <w:r w:rsidRPr="004C5FC5">
        <w:rPr>
          <w:rFonts w:ascii="Lexend Deca" w:hAnsi="Lexend Deca"/>
          <w:b/>
          <w:bCs/>
          <w:sz w:val="40"/>
          <w:szCs w:val="40"/>
        </w:rPr>
        <w:t>Human rights education</w:t>
      </w:r>
    </w:p>
    <w:p w14:paraId="2F9D91A9" w14:textId="101BB0F3" w:rsidR="00C704C9" w:rsidRPr="00C704C9" w:rsidRDefault="00C704C9" w:rsidP="00C704C9">
      <w:pPr>
        <w:rPr>
          <w:rFonts w:ascii="Lexend Deca" w:hAnsi="Lexend Deca"/>
          <w:sz w:val="24"/>
          <w:szCs w:val="24"/>
        </w:rPr>
      </w:pPr>
      <w:r w:rsidRPr="00C704C9">
        <w:rPr>
          <w:rFonts w:ascii="Lexend Deca" w:hAnsi="Lexend Deca"/>
          <w:sz w:val="24"/>
          <w:szCs w:val="24"/>
        </w:rPr>
        <w:t>Training about children’s rights and the UNCRC should draw on what we know about effective human rights and children’s rights education. Effective human rights training is strategically planned, uses transformative teaching methods, includes high quality resources that are linked to wider work, and focuses on creating networks and helping learners to recognise their own attitudes.</w:t>
      </w:r>
    </w:p>
    <w:p w14:paraId="4AE9C5C7"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Amnesty International’s </w:t>
      </w:r>
      <w:hyperlink r:id="rId8" w:history="1">
        <w:r w:rsidRPr="00C704C9">
          <w:rPr>
            <w:rStyle w:val="Hyperlink"/>
            <w:rFonts w:ascii="Lexend Deca" w:hAnsi="Lexend Deca"/>
            <w:sz w:val="24"/>
            <w:szCs w:val="24"/>
          </w:rPr>
          <w:t>12-point guide</w:t>
        </w:r>
      </w:hyperlink>
      <w:r w:rsidRPr="00C704C9">
        <w:rPr>
          <w:rFonts w:ascii="Lexend Deca" w:hAnsi="Lexend Deca"/>
          <w:sz w:val="24"/>
          <w:szCs w:val="24"/>
        </w:rPr>
        <w:t xml:space="preserve"> written in 1998 is still relevant today, as it highlights some of the challenges observed in human rights education programmes for governments and ways to overcome them. Start with a detailed training analysis and a baseline of the existing situation. Acknowledge that training is only a drop in the ocean and must accompany a strategy, wider accountability mechanisms, and public education campaigns.</w:t>
      </w:r>
    </w:p>
    <w:p w14:paraId="055544C7" w14:textId="77777777" w:rsidR="00C704C9" w:rsidRPr="00C704C9" w:rsidRDefault="00C704C9" w:rsidP="00C704C9">
      <w:pPr>
        <w:rPr>
          <w:rFonts w:ascii="Lexend Deca" w:hAnsi="Lexend Deca"/>
          <w:sz w:val="24"/>
          <w:szCs w:val="24"/>
        </w:rPr>
      </w:pPr>
      <w:r w:rsidRPr="00C704C9">
        <w:rPr>
          <w:rFonts w:ascii="Lexend Deca" w:hAnsi="Lexend Deca"/>
          <w:sz w:val="24"/>
          <w:szCs w:val="24"/>
        </w:rPr>
        <w:t>Generating high level buy-in to ensure sustainability of education initiatives is key, alongside coordinating activities with the wider community and non-governmental organisations. Think strategically about target groups for training from the start by balancing the initial focus on either coverage or training trainers, or both.</w:t>
      </w:r>
    </w:p>
    <w:p w14:paraId="333C45D5" w14:textId="77777777" w:rsidR="00C704C9" w:rsidRPr="00C704C9" w:rsidRDefault="00C704C9" w:rsidP="00C704C9">
      <w:pPr>
        <w:rPr>
          <w:rFonts w:ascii="Lexend Deca" w:hAnsi="Lexend Deca"/>
          <w:sz w:val="24"/>
          <w:szCs w:val="24"/>
        </w:rPr>
      </w:pPr>
      <w:r w:rsidRPr="00C704C9">
        <w:rPr>
          <w:rFonts w:ascii="Lexend Deca" w:hAnsi="Lexend Deca"/>
          <w:sz w:val="24"/>
          <w:szCs w:val="24"/>
        </w:rPr>
        <w:t>The training messengers must be credible, authoritative, and have the right mix of training/teaching and subject matter expertise. Training should be contextual, practical, participatory and include integrated follow up. The final point highlights the necessity of continuous evaluation that feeds into programme redesign and where appropriate is conducted externally.</w:t>
      </w:r>
    </w:p>
    <w:p w14:paraId="2A4FD76B" w14:textId="77777777" w:rsidR="00C704C9" w:rsidRPr="00C704C9" w:rsidRDefault="00C704C9" w:rsidP="00C704C9">
      <w:pPr>
        <w:rPr>
          <w:rFonts w:ascii="Lexend Deca" w:hAnsi="Lexend Deca"/>
          <w:sz w:val="24"/>
          <w:szCs w:val="24"/>
        </w:rPr>
      </w:pPr>
      <w:r w:rsidRPr="00C704C9">
        <w:rPr>
          <w:rFonts w:ascii="Lexend Deca" w:hAnsi="Lexend Deca"/>
          <w:sz w:val="24"/>
          <w:szCs w:val="24"/>
        </w:rPr>
        <w:t>Avoiding focusing on common misconceptions or on ‘</w:t>
      </w:r>
      <w:proofErr w:type="spellStart"/>
      <w:r w:rsidRPr="00C704C9">
        <w:rPr>
          <w:rFonts w:ascii="Lexend Deca" w:hAnsi="Lexend Deca"/>
          <w:sz w:val="24"/>
          <w:szCs w:val="24"/>
        </w:rPr>
        <w:t>mythbusting</w:t>
      </w:r>
      <w:proofErr w:type="spellEnd"/>
      <w:r w:rsidRPr="00C704C9">
        <w:rPr>
          <w:rFonts w:ascii="Lexend Deca" w:hAnsi="Lexend Deca"/>
          <w:sz w:val="24"/>
          <w:szCs w:val="24"/>
        </w:rPr>
        <w:t>’. This can reinforce, rather than correct, misunderstandings. Tackle issues as they arise by giving learners a new way to think that moves them past their misconception.</w:t>
      </w:r>
    </w:p>
    <w:p w14:paraId="5407F1F2"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The </w:t>
      </w:r>
      <w:hyperlink r:id="rId9" w:history="1">
        <w:r w:rsidRPr="00C704C9">
          <w:rPr>
            <w:rStyle w:val="Hyperlink"/>
            <w:rFonts w:ascii="Lexend Deca" w:hAnsi="Lexend Deca"/>
            <w:sz w:val="24"/>
            <w:szCs w:val="24"/>
          </w:rPr>
          <w:t>European Agency for Fundamental Rights’ report</w:t>
        </w:r>
      </w:hyperlink>
      <w:r w:rsidRPr="00C704C9">
        <w:rPr>
          <w:rFonts w:ascii="Lexend Deca" w:hAnsi="Lexend Deca"/>
          <w:sz w:val="24"/>
          <w:szCs w:val="24"/>
        </w:rPr>
        <w:t xml:space="preserve"> on effective human rights communication recommends telling a human story, speaking to underpinning values of rights, and embracing positivity instead of just using numbers.</w:t>
      </w:r>
    </w:p>
    <w:p w14:paraId="4FD9B518" w14:textId="77777777" w:rsidR="00C704C9" w:rsidRPr="00C704C9" w:rsidRDefault="00C704C9" w:rsidP="00C704C9">
      <w:pPr>
        <w:rPr>
          <w:rFonts w:ascii="Lexend Deca" w:hAnsi="Lexend Deca"/>
          <w:sz w:val="24"/>
          <w:szCs w:val="24"/>
        </w:rPr>
      </w:pPr>
      <w:hyperlink r:id="rId10" w:history="1">
        <w:r w:rsidRPr="00C704C9">
          <w:rPr>
            <w:rStyle w:val="Hyperlink"/>
            <w:rFonts w:ascii="Lexend Deca" w:hAnsi="Lexend Deca"/>
            <w:sz w:val="24"/>
            <w:szCs w:val="24"/>
          </w:rPr>
          <w:t>UNICEF’s evaluation</w:t>
        </w:r>
      </w:hyperlink>
      <w:r w:rsidRPr="00C704C9">
        <w:rPr>
          <w:rFonts w:ascii="Lexend Deca" w:hAnsi="Lexend Deca"/>
          <w:sz w:val="24"/>
          <w:szCs w:val="24"/>
        </w:rPr>
        <w:t xml:space="preserve"> of the implementation of children’s rights learning across 26 countries highlights how relationships and networks are important. It links children’s rights education to wider educational activities and agendas, such as anti-oppressive education and global citizenship education.</w:t>
      </w:r>
      <w:r w:rsidRPr="00C704C9">
        <w:rPr>
          <w:rFonts w:ascii="Lexend Deca" w:hAnsi="Lexend Deca"/>
          <w:sz w:val="24"/>
          <w:szCs w:val="24"/>
        </w:rPr>
        <w:br/>
        <w:t>Design of children’s rights education programmes should explore transformative methods, instead of traditional models of knowledge transfer.</w:t>
      </w:r>
    </w:p>
    <w:p w14:paraId="6E052DF0" w14:textId="77777777" w:rsidR="00C704C9" w:rsidRPr="00C704C9" w:rsidRDefault="00C704C9" w:rsidP="00C704C9">
      <w:pPr>
        <w:rPr>
          <w:rFonts w:ascii="Lexend Deca" w:hAnsi="Lexend Deca"/>
          <w:sz w:val="24"/>
          <w:szCs w:val="24"/>
        </w:rPr>
      </w:pPr>
      <w:r w:rsidRPr="00C704C9">
        <w:rPr>
          <w:rFonts w:ascii="Lexend Deca" w:hAnsi="Lexend Deca"/>
          <w:sz w:val="24"/>
          <w:szCs w:val="24"/>
        </w:rPr>
        <w:lastRenderedPageBreak/>
        <w:t>Factors that the evaluation noted that can improve implementation of learning include:</w:t>
      </w:r>
      <w:r w:rsidRPr="00C704C9">
        <w:rPr>
          <w:rFonts w:ascii="Lexend Deca" w:hAnsi="Lexend Deca"/>
          <w:sz w:val="24"/>
          <w:szCs w:val="24"/>
        </w:rPr>
        <w:br/>
        <w:t>• Teacher education.</w:t>
      </w:r>
      <w:r w:rsidRPr="00C704C9">
        <w:rPr>
          <w:rFonts w:ascii="Lexend Deca" w:hAnsi="Lexend Deca"/>
          <w:sz w:val="24"/>
          <w:szCs w:val="24"/>
        </w:rPr>
        <w:br/>
        <w:t>• Clear policy commitment.</w:t>
      </w:r>
      <w:r w:rsidRPr="00C704C9">
        <w:rPr>
          <w:rFonts w:ascii="Lexend Deca" w:hAnsi="Lexend Deca"/>
          <w:sz w:val="24"/>
          <w:szCs w:val="24"/>
        </w:rPr>
        <w:br/>
        <w:t>• Shifts in the culture of education systems to recognise children’s rights.</w:t>
      </w:r>
      <w:r w:rsidRPr="00C704C9">
        <w:rPr>
          <w:rFonts w:ascii="Lexend Deca" w:hAnsi="Lexend Deca"/>
          <w:sz w:val="24"/>
          <w:szCs w:val="24"/>
        </w:rPr>
        <w:br/>
        <w:t>• High quality resources, including awareness of them.</w:t>
      </w:r>
      <w:r w:rsidRPr="00C704C9">
        <w:rPr>
          <w:rFonts w:ascii="Lexend Deca" w:hAnsi="Lexend Deca"/>
          <w:sz w:val="24"/>
          <w:szCs w:val="24"/>
        </w:rPr>
        <w:br/>
        <w:t>• Children’s rights being placed on curriculums.</w:t>
      </w:r>
      <w:r w:rsidRPr="00C704C9">
        <w:rPr>
          <w:rFonts w:ascii="Lexend Deca" w:hAnsi="Lexend Deca"/>
          <w:sz w:val="24"/>
          <w:szCs w:val="24"/>
        </w:rPr>
        <w:br/>
        <w:t>• Political leadership, alongside monitoring and accountability mechanisms and sharing what works.</w:t>
      </w:r>
    </w:p>
    <w:p w14:paraId="57C03052" w14:textId="77777777" w:rsidR="00C704C9" w:rsidRPr="00C704C9" w:rsidRDefault="00C704C9" w:rsidP="00C704C9">
      <w:pPr>
        <w:rPr>
          <w:rFonts w:ascii="Lexend Deca" w:hAnsi="Lexend Deca"/>
          <w:sz w:val="24"/>
          <w:szCs w:val="24"/>
        </w:rPr>
      </w:pPr>
      <w:r w:rsidRPr="00C704C9">
        <w:rPr>
          <w:rFonts w:ascii="Lexend Deca" w:hAnsi="Lexend Deca"/>
          <w:b/>
          <w:bCs/>
          <w:sz w:val="24"/>
          <w:szCs w:val="24"/>
        </w:rPr>
        <w:t>Reflection question:</w:t>
      </w:r>
      <w:r w:rsidRPr="00C704C9">
        <w:rPr>
          <w:rFonts w:ascii="Lexend Deca" w:hAnsi="Lexend Deca"/>
          <w:sz w:val="24"/>
          <w:szCs w:val="24"/>
        </w:rPr>
        <w:t xml:space="preserve"> In your experience, what makes for effective human rights education?</w:t>
      </w:r>
    </w:p>
    <w:p w14:paraId="030A956E" w14:textId="77777777" w:rsidR="00C704C9" w:rsidRPr="00C704C9" w:rsidRDefault="00C704C9" w:rsidP="00C704C9">
      <w:pPr>
        <w:rPr>
          <w:rFonts w:ascii="Lexend Deca" w:hAnsi="Lexend Deca"/>
          <w:sz w:val="24"/>
          <w:szCs w:val="24"/>
        </w:rPr>
      </w:pPr>
      <w:r w:rsidRPr="00C704C9">
        <w:rPr>
          <w:rFonts w:ascii="Lexend Deca" w:hAnsi="Lexend Deca"/>
          <w:sz w:val="24"/>
          <w:szCs w:val="24"/>
        </w:rPr>
        <w:t>The Professional Panel shared that effective strategies include:</w:t>
      </w:r>
      <w:r w:rsidRPr="00C704C9">
        <w:rPr>
          <w:rFonts w:ascii="Lexend Deca" w:hAnsi="Lexend Deca"/>
          <w:sz w:val="24"/>
          <w:szCs w:val="24"/>
        </w:rPr>
        <w:br/>
        <w:t>• Framing learning as a discovery journey.</w:t>
      </w:r>
      <w:r w:rsidRPr="00C704C9">
        <w:rPr>
          <w:rFonts w:ascii="Lexend Deca" w:hAnsi="Lexend Deca"/>
          <w:sz w:val="24"/>
          <w:szCs w:val="24"/>
        </w:rPr>
        <w:br/>
        <w:t>• Using collective language like ‘we’ to demonstrate how it is a collaborative journey.</w:t>
      </w:r>
      <w:r w:rsidRPr="00C704C9">
        <w:rPr>
          <w:rFonts w:ascii="Lexend Deca" w:hAnsi="Lexend Deca"/>
          <w:sz w:val="24"/>
          <w:szCs w:val="24"/>
        </w:rPr>
        <w:br/>
        <w:t>• Understanding learner’s needs and making training relevant to their role.</w:t>
      </w:r>
      <w:r w:rsidRPr="00C704C9">
        <w:rPr>
          <w:rFonts w:ascii="Lexend Deca" w:hAnsi="Lexend Deca"/>
          <w:sz w:val="24"/>
          <w:szCs w:val="24"/>
        </w:rPr>
        <w:br/>
        <w:t>• Understanding challenges in every day decision making where children’s rights are perceived to be competing or need balancing.</w:t>
      </w:r>
      <w:r w:rsidRPr="00C704C9">
        <w:rPr>
          <w:rFonts w:ascii="Lexend Deca" w:hAnsi="Lexend Deca"/>
          <w:sz w:val="24"/>
          <w:szCs w:val="24"/>
        </w:rPr>
        <w:br/>
        <w:t>• Translating theory into practice and keeping it simple.</w:t>
      </w:r>
      <w:r w:rsidRPr="00C704C9">
        <w:rPr>
          <w:rFonts w:ascii="Lexend Deca" w:hAnsi="Lexend Deca"/>
          <w:sz w:val="24"/>
          <w:szCs w:val="24"/>
        </w:rPr>
        <w:br/>
        <w:t>• Collaborating with children and young people.</w:t>
      </w:r>
    </w:p>
    <w:p w14:paraId="4813560E" w14:textId="77777777" w:rsidR="00C704C9" w:rsidRPr="00C704C9" w:rsidRDefault="00C704C9" w:rsidP="00C704C9">
      <w:pPr>
        <w:rPr>
          <w:rFonts w:ascii="Lexend Deca" w:hAnsi="Lexend Deca"/>
          <w:sz w:val="24"/>
          <w:szCs w:val="24"/>
        </w:rPr>
      </w:pPr>
      <w:r w:rsidRPr="00C704C9">
        <w:rPr>
          <w:rFonts w:ascii="Lexend Deca" w:hAnsi="Lexend Deca"/>
          <w:b/>
          <w:bCs/>
          <w:sz w:val="24"/>
          <w:szCs w:val="24"/>
        </w:rPr>
        <w:t xml:space="preserve">Reflection question: </w:t>
      </w:r>
      <w:r w:rsidRPr="00C704C9">
        <w:rPr>
          <w:rFonts w:ascii="Lexend Deca" w:hAnsi="Lexend Deca"/>
          <w:sz w:val="24"/>
          <w:szCs w:val="24"/>
        </w:rPr>
        <w:t>How can creating UNCRC training in your organisation be an opportunity to model a children’s human rights approach to training, that goes beyond one-way models of traditional learning?</w:t>
      </w:r>
    </w:p>
    <w:p w14:paraId="28D940AA" w14:textId="77777777" w:rsidR="00C704C9" w:rsidRPr="00C704C9" w:rsidRDefault="00C704C9" w:rsidP="00C704C9">
      <w:pPr>
        <w:rPr>
          <w:rFonts w:ascii="Lexend Deca" w:hAnsi="Lexend Deca"/>
          <w:sz w:val="24"/>
          <w:szCs w:val="24"/>
        </w:rPr>
      </w:pPr>
      <w:r w:rsidRPr="00C704C9">
        <w:rPr>
          <w:rFonts w:ascii="Lexend Deca" w:hAnsi="Lexend Deca"/>
          <w:sz w:val="24"/>
          <w:szCs w:val="24"/>
        </w:rPr>
        <w:t>The Professional Panel suggested strategies include:</w:t>
      </w:r>
      <w:r w:rsidRPr="00C704C9">
        <w:rPr>
          <w:rFonts w:ascii="Lexend Deca" w:hAnsi="Lexend Deca"/>
          <w:sz w:val="24"/>
          <w:szCs w:val="24"/>
        </w:rPr>
        <w:br/>
        <w:t>• Involving children and young people in creative design and out of the box training.</w:t>
      </w:r>
      <w:r w:rsidRPr="00C704C9">
        <w:rPr>
          <w:rFonts w:ascii="Lexend Deca" w:hAnsi="Lexend Deca"/>
          <w:sz w:val="24"/>
          <w:szCs w:val="24"/>
        </w:rPr>
        <w:br/>
        <w:t>• Creating flexible pathways for learning that can be dipped in and out of.</w:t>
      </w:r>
      <w:r w:rsidRPr="00C704C9">
        <w:rPr>
          <w:rFonts w:ascii="Lexend Deca" w:hAnsi="Lexend Deca"/>
          <w:sz w:val="24"/>
          <w:szCs w:val="24"/>
        </w:rPr>
        <w:br/>
        <w:t>• Finding learning in unexpected places.</w:t>
      </w:r>
      <w:r w:rsidRPr="00C704C9">
        <w:rPr>
          <w:rFonts w:ascii="Lexend Deca" w:hAnsi="Lexend Deca"/>
          <w:sz w:val="24"/>
          <w:szCs w:val="24"/>
        </w:rPr>
        <w:br/>
        <w:t>• Using multimedia and creative learning activities like videos, interaction, role-play, scenarios, and social media.</w:t>
      </w:r>
      <w:r w:rsidRPr="00C704C9">
        <w:rPr>
          <w:rFonts w:ascii="Lexend Deca" w:hAnsi="Lexend Deca"/>
          <w:sz w:val="24"/>
          <w:szCs w:val="24"/>
        </w:rPr>
        <w:br/>
        <w:t>• Exploring and evaluating how training and learning can lead to attitude changes and permeate across workplace cultures.</w:t>
      </w:r>
    </w:p>
    <w:p w14:paraId="3192819E" w14:textId="77777777" w:rsidR="00C704C9" w:rsidRPr="00C704C9" w:rsidRDefault="00C704C9" w:rsidP="00C704C9">
      <w:pPr>
        <w:rPr>
          <w:rFonts w:ascii="Lexend Deca" w:hAnsi="Lexend Deca"/>
          <w:sz w:val="24"/>
          <w:szCs w:val="24"/>
        </w:rPr>
      </w:pPr>
      <w:r w:rsidRPr="00C704C9">
        <w:rPr>
          <w:rFonts w:ascii="Lexend Deca" w:hAnsi="Lexend Deca"/>
          <w:sz w:val="24"/>
          <w:szCs w:val="24"/>
        </w:rPr>
        <w:t>U</w:t>
      </w:r>
      <w:r w:rsidRPr="00C704C9">
        <w:rPr>
          <w:rFonts w:ascii="Lexend Deca" w:hAnsi="Lexend Deca"/>
          <w:b/>
          <w:bCs/>
          <w:sz w:val="24"/>
          <w:szCs w:val="24"/>
        </w:rPr>
        <w:t>seful resources to learn more about human rights education:</w:t>
      </w:r>
    </w:p>
    <w:p w14:paraId="5C83454A"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United Nations Human Rights Office of the High Commissioner, </w:t>
      </w:r>
      <w:hyperlink r:id="rId11" w:history="1">
        <w:r w:rsidRPr="00C704C9">
          <w:rPr>
            <w:rStyle w:val="Hyperlink"/>
            <w:rFonts w:ascii="Lexend Deca" w:hAnsi="Lexend Deca"/>
            <w:sz w:val="24"/>
            <w:szCs w:val="24"/>
          </w:rPr>
          <w:t>information on children and young people.</w:t>
        </w:r>
      </w:hyperlink>
    </w:p>
    <w:p w14:paraId="33061F3F"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United Nations Human Rights Office of the High Commissioner, </w:t>
      </w:r>
      <w:hyperlink r:id="rId12" w:history="1">
        <w:r w:rsidRPr="00C704C9">
          <w:rPr>
            <w:rStyle w:val="Hyperlink"/>
            <w:rFonts w:ascii="Lexend Deca" w:hAnsi="Lexend Deca"/>
            <w:sz w:val="24"/>
            <w:szCs w:val="24"/>
          </w:rPr>
          <w:t>plan of action for the fourth phase of the world programme for human rights education</w:t>
        </w:r>
      </w:hyperlink>
      <w:r w:rsidRPr="00C704C9">
        <w:rPr>
          <w:rFonts w:ascii="Lexend Deca" w:hAnsi="Lexend Deca"/>
          <w:sz w:val="24"/>
          <w:szCs w:val="24"/>
        </w:rPr>
        <w:t xml:space="preserve"> and </w:t>
      </w:r>
      <w:hyperlink r:id="rId13" w:history="1">
        <w:r w:rsidRPr="00C704C9">
          <w:rPr>
            <w:rStyle w:val="Hyperlink"/>
            <w:rFonts w:ascii="Lexend Deca" w:hAnsi="Lexend Deca"/>
            <w:sz w:val="24"/>
            <w:szCs w:val="24"/>
          </w:rPr>
          <w:t>handbook for human rights training.</w:t>
        </w:r>
      </w:hyperlink>
    </w:p>
    <w:p w14:paraId="0CE974EE"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Council of Europe </w:t>
      </w:r>
      <w:hyperlink r:id="rId14" w:history="1">
        <w:r w:rsidRPr="00C704C9">
          <w:rPr>
            <w:rStyle w:val="Hyperlink"/>
            <w:rFonts w:ascii="Lexend Deca" w:hAnsi="Lexend Deca"/>
            <w:sz w:val="24"/>
            <w:szCs w:val="24"/>
          </w:rPr>
          <w:t>manual for human rights education with young people.</w:t>
        </w:r>
      </w:hyperlink>
    </w:p>
    <w:p w14:paraId="7337750C" w14:textId="77777777" w:rsidR="00C704C9" w:rsidRPr="00C704C9" w:rsidRDefault="00C704C9" w:rsidP="00C704C9">
      <w:pPr>
        <w:rPr>
          <w:rFonts w:ascii="Lexend Deca" w:hAnsi="Lexend Deca"/>
          <w:sz w:val="24"/>
          <w:szCs w:val="24"/>
        </w:rPr>
      </w:pPr>
      <w:r w:rsidRPr="00C704C9">
        <w:rPr>
          <w:rFonts w:ascii="Lexend Deca" w:hAnsi="Lexend Deca"/>
          <w:sz w:val="24"/>
          <w:szCs w:val="24"/>
        </w:rPr>
        <w:lastRenderedPageBreak/>
        <w:t xml:space="preserve">Danish Institute of Human Rights Education </w:t>
      </w:r>
      <w:hyperlink r:id="rId15" w:history="1">
        <w:r w:rsidRPr="00C704C9">
          <w:rPr>
            <w:rStyle w:val="Hyperlink"/>
            <w:rFonts w:ascii="Lexend Deca" w:hAnsi="Lexend Deca"/>
            <w:sz w:val="24"/>
            <w:szCs w:val="24"/>
          </w:rPr>
          <w:t>toolbox.</w:t>
        </w:r>
      </w:hyperlink>
    </w:p>
    <w:p w14:paraId="31923C1B" w14:textId="77777777" w:rsidR="00C704C9" w:rsidRPr="00C704C9" w:rsidRDefault="00C704C9" w:rsidP="00C704C9">
      <w:pPr>
        <w:rPr>
          <w:rFonts w:ascii="Lexend Deca" w:hAnsi="Lexend Deca"/>
          <w:sz w:val="24"/>
          <w:szCs w:val="24"/>
        </w:rPr>
      </w:pPr>
      <w:r w:rsidRPr="00C704C9">
        <w:rPr>
          <w:rFonts w:ascii="Lexend Deca" w:hAnsi="Lexend Deca"/>
          <w:sz w:val="24"/>
          <w:szCs w:val="24"/>
        </w:rPr>
        <w:t xml:space="preserve">Democracy and Human Rights Education in Europe </w:t>
      </w:r>
      <w:hyperlink r:id="rId16" w:history="1">
        <w:r w:rsidRPr="00C704C9">
          <w:rPr>
            <w:rStyle w:val="Hyperlink"/>
            <w:rFonts w:ascii="Lexend Deca" w:hAnsi="Lexend Deca"/>
            <w:sz w:val="24"/>
            <w:szCs w:val="24"/>
          </w:rPr>
          <w:t>digital toolbox.</w:t>
        </w:r>
      </w:hyperlink>
    </w:p>
    <w:p w14:paraId="52189D44" w14:textId="77777777" w:rsidR="00C704C9" w:rsidRPr="00C704C9" w:rsidRDefault="00C704C9" w:rsidP="00C704C9">
      <w:pPr>
        <w:rPr>
          <w:rFonts w:ascii="Lexend Deca" w:hAnsi="Lexend Deca"/>
          <w:sz w:val="24"/>
          <w:szCs w:val="24"/>
        </w:rPr>
      </w:pPr>
      <w:r w:rsidRPr="00C704C9">
        <w:rPr>
          <w:rFonts w:ascii="Lexend Deca" w:hAnsi="Lexend Deca"/>
          <w:sz w:val="24"/>
          <w:szCs w:val="24"/>
        </w:rPr>
        <w:t> </w:t>
      </w:r>
    </w:p>
    <w:p w14:paraId="77B04490" w14:textId="77777777" w:rsidR="007A0FB5" w:rsidRPr="00C704C9" w:rsidRDefault="007A0FB5">
      <w:pPr>
        <w:rPr>
          <w:rFonts w:ascii="Lexend Deca" w:hAnsi="Lexend Deca"/>
          <w:sz w:val="24"/>
          <w:szCs w:val="24"/>
        </w:rPr>
      </w:pPr>
    </w:p>
    <w:sectPr w:rsidR="007A0FB5" w:rsidRPr="00C70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0D"/>
    <w:rsid w:val="000164A8"/>
    <w:rsid w:val="00124E0C"/>
    <w:rsid w:val="002239CB"/>
    <w:rsid w:val="002E69D4"/>
    <w:rsid w:val="003C00D5"/>
    <w:rsid w:val="00426E0D"/>
    <w:rsid w:val="004C5FC5"/>
    <w:rsid w:val="007A0FB5"/>
    <w:rsid w:val="00C704C9"/>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CA16"/>
  <w15:chartTrackingRefBased/>
  <w15:docId w15:val="{DB9C3336-E635-4851-9EE2-5AC72066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E0D"/>
    <w:rPr>
      <w:rFonts w:eastAsiaTheme="majorEastAsia" w:cstheme="majorBidi"/>
      <w:color w:val="272727" w:themeColor="text1" w:themeTint="D8"/>
    </w:rPr>
  </w:style>
  <w:style w:type="paragraph" w:styleId="Title">
    <w:name w:val="Title"/>
    <w:basedOn w:val="Normal"/>
    <w:next w:val="Normal"/>
    <w:link w:val="TitleChar"/>
    <w:uiPriority w:val="10"/>
    <w:qFormat/>
    <w:rsid w:val="0042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E0D"/>
    <w:pPr>
      <w:spacing w:before="160"/>
      <w:jc w:val="center"/>
    </w:pPr>
    <w:rPr>
      <w:i/>
      <w:iCs/>
      <w:color w:val="404040" w:themeColor="text1" w:themeTint="BF"/>
    </w:rPr>
  </w:style>
  <w:style w:type="character" w:customStyle="1" w:styleId="QuoteChar">
    <w:name w:val="Quote Char"/>
    <w:basedOn w:val="DefaultParagraphFont"/>
    <w:link w:val="Quote"/>
    <w:uiPriority w:val="29"/>
    <w:rsid w:val="00426E0D"/>
    <w:rPr>
      <w:i/>
      <w:iCs/>
      <w:color w:val="404040" w:themeColor="text1" w:themeTint="BF"/>
    </w:rPr>
  </w:style>
  <w:style w:type="paragraph" w:styleId="ListParagraph">
    <w:name w:val="List Paragraph"/>
    <w:basedOn w:val="Normal"/>
    <w:uiPriority w:val="34"/>
    <w:qFormat/>
    <w:rsid w:val="00426E0D"/>
    <w:pPr>
      <w:ind w:left="720"/>
      <w:contextualSpacing/>
    </w:pPr>
  </w:style>
  <w:style w:type="character" w:styleId="IntenseEmphasis">
    <w:name w:val="Intense Emphasis"/>
    <w:basedOn w:val="DefaultParagraphFont"/>
    <w:uiPriority w:val="21"/>
    <w:qFormat/>
    <w:rsid w:val="00426E0D"/>
    <w:rPr>
      <w:i/>
      <w:iCs/>
      <w:color w:val="0F4761" w:themeColor="accent1" w:themeShade="BF"/>
    </w:rPr>
  </w:style>
  <w:style w:type="paragraph" w:styleId="IntenseQuote">
    <w:name w:val="Intense Quote"/>
    <w:basedOn w:val="Normal"/>
    <w:next w:val="Normal"/>
    <w:link w:val="IntenseQuoteChar"/>
    <w:uiPriority w:val="30"/>
    <w:qFormat/>
    <w:rsid w:val="0042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E0D"/>
    <w:rPr>
      <w:i/>
      <w:iCs/>
      <w:color w:val="0F4761" w:themeColor="accent1" w:themeShade="BF"/>
    </w:rPr>
  </w:style>
  <w:style w:type="character" w:styleId="IntenseReference">
    <w:name w:val="Intense Reference"/>
    <w:basedOn w:val="DefaultParagraphFont"/>
    <w:uiPriority w:val="32"/>
    <w:qFormat/>
    <w:rsid w:val="00426E0D"/>
    <w:rPr>
      <w:b/>
      <w:bCs/>
      <w:smallCaps/>
      <w:color w:val="0F4761" w:themeColor="accent1" w:themeShade="BF"/>
      <w:spacing w:val="5"/>
    </w:rPr>
  </w:style>
  <w:style w:type="character" w:styleId="Hyperlink">
    <w:name w:val="Hyperlink"/>
    <w:basedOn w:val="DefaultParagraphFont"/>
    <w:uiPriority w:val="99"/>
    <w:unhideWhenUsed/>
    <w:rsid w:val="00C704C9"/>
    <w:rPr>
      <w:color w:val="467886" w:themeColor="hyperlink"/>
      <w:u w:val="single"/>
    </w:rPr>
  </w:style>
  <w:style w:type="character" w:styleId="UnresolvedMention">
    <w:name w:val="Unresolved Mention"/>
    <w:basedOn w:val="DefaultParagraphFont"/>
    <w:uiPriority w:val="99"/>
    <w:semiHidden/>
    <w:unhideWhenUsed/>
    <w:rsid w:val="00C7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86625">
      <w:bodyDiv w:val="1"/>
      <w:marLeft w:val="0"/>
      <w:marRight w:val="0"/>
      <w:marTop w:val="0"/>
      <w:marBottom w:val="0"/>
      <w:divBdr>
        <w:top w:val="none" w:sz="0" w:space="0" w:color="auto"/>
        <w:left w:val="none" w:sz="0" w:space="0" w:color="auto"/>
        <w:bottom w:val="none" w:sz="0" w:space="0" w:color="auto"/>
        <w:right w:val="none" w:sz="0" w:space="0" w:color="auto"/>
      </w:divBdr>
      <w:divsChild>
        <w:div w:id="135492271">
          <w:marLeft w:val="0"/>
          <w:marRight w:val="0"/>
          <w:marTop w:val="0"/>
          <w:marBottom w:val="0"/>
          <w:divBdr>
            <w:top w:val="none" w:sz="0" w:space="0" w:color="auto"/>
            <w:left w:val="none" w:sz="0" w:space="0" w:color="auto"/>
            <w:bottom w:val="none" w:sz="0" w:space="0" w:color="auto"/>
            <w:right w:val="none" w:sz="0" w:space="0" w:color="auto"/>
          </w:divBdr>
        </w:div>
      </w:divsChild>
    </w:div>
    <w:div w:id="2127262823">
      <w:bodyDiv w:val="1"/>
      <w:marLeft w:val="0"/>
      <w:marRight w:val="0"/>
      <w:marTop w:val="0"/>
      <w:marBottom w:val="0"/>
      <w:divBdr>
        <w:top w:val="none" w:sz="0" w:space="0" w:color="auto"/>
        <w:left w:val="none" w:sz="0" w:space="0" w:color="auto"/>
        <w:bottom w:val="none" w:sz="0" w:space="0" w:color="auto"/>
        <w:right w:val="none" w:sz="0" w:space="0" w:color="auto"/>
      </w:divBdr>
      <w:divsChild>
        <w:div w:id="1016879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act30/001/1998/en/" TargetMode="External"/><Relationship Id="rId13" Type="http://schemas.openxmlformats.org/officeDocument/2006/relationships/hyperlink" Target="https://www.ohchr.org/en/publications/training-and-education-publications/planning-impact-manual-human-rights-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chr.org/en/publications/training-and-education-publications/plan-action-fourth-phase-world-programme-hum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petendo.net/en/Main_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topic/children-and-youth" TargetMode="External"/><Relationship Id="rId5" Type="http://schemas.openxmlformats.org/officeDocument/2006/relationships/styles" Target="styles.xml"/><Relationship Id="rId15" Type="http://schemas.openxmlformats.org/officeDocument/2006/relationships/hyperlink" Target="https://www.humanrights.dk/publications/human-rights-education-toolbox" TargetMode="External"/><Relationship Id="rId10" Type="http://schemas.openxmlformats.org/officeDocument/2006/relationships/hyperlink" Target="https://www.unicef.org/child-rights-convention/implementing-monitoring" TargetMode="External"/><Relationship Id="rId4" Type="http://schemas.openxmlformats.org/officeDocument/2006/relationships/numbering" Target="numbering.xml"/><Relationship Id="rId9" Type="http://schemas.openxmlformats.org/officeDocument/2006/relationships/hyperlink" Target="https://fra.europa.eu/en/publication/2022/10-keys-effectively-communicating-human-rights-2022-edition" TargetMode="External"/><Relationship Id="rId14" Type="http://schemas.openxmlformats.org/officeDocument/2006/relationships/hyperlink" Target="https://rm.coe.int/compass-eng-rev-2020-web/1680a08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8BBB6-8793-4A1B-A72E-CBEA4D350AC2}">
  <ds:schemaRefs>
    <ds:schemaRef ds:uri="http://schemas.microsoft.com/office/2006/documentManagement/types"/>
    <ds:schemaRef ds:uri="http://purl.org/dc/elements/1.1/"/>
    <ds:schemaRef ds:uri="09097c22-c108-45c9-9711-649fcb8d734e"/>
    <ds:schemaRef ds:uri="25ccb901-815f-4c78-9662-858338c15881"/>
    <ds:schemaRef ds:uri="http://www.w3.org/XML/1998/namespace"/>
    <ds:schemaRef ds:uri="http://purl.org/dc/terms/"/>
    <ds:schemaRef ds:uri="http://schemas.microsoft.com/office/2006/metadata/properties"/>
    <ds:schemaRef ds:uri="cab91360-db1c-4fb1-94f4-58fc1abbc76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E14774A-4F12-4445-BA90-A77D18F98B4C}">
  <ds:schemaRefs>
    <ds:schemaRef ds:uri="http://schemas.microsoft.com/sharepoint/v3/contenttype/forms"/>
  </ds:schemaRefs>
</ds:datastoreItem>
</file>

<file path=customXml/itemProps3.xml><?xml version="1.0" encoding="utf-8"?>
<ds:datastoreItem xmlns:ds="http://schemas.openxmlformats.org/officeDocument/2006/customXml" ds:itemID="{DAFE8AE5-89BF-4C09-AD91-1083DC6A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4</cp:revision>
  <dcterms:created xsi:type="dcterms:W3CDTF">2025-02-11T15:38:00Z</dcterms:created>
  <dcterms:modified xsi:type="dcterms:W3CDTF">2025-02-11T16:02:00Z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