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72F73" w14:textId="06480E7F" w:rsidR="006E2123" w:rsidRPr="006E2123" w:rsidRDefault="00E53A96" w:rsidP="006E2123">
      <w:pPr>
        <w:rPr>
          <w:rFonts w:ascii="Lexend Deca" w:hAnsi="Lexend Deca"/>
          <w:b/>
          <w:bCs/>
          <w:sz w:val="40"/>
          <w:szCs w:val="40"/>
        </w:rPr>
      </w:pPr>
      <w:r w:rsidRPr="00BE12C0">
        <w:rPr>
          <w:rFonts w:ascii="Lexend Deca" w:hAnsi="Lexend Deca"/>
          <w:b/>
          <w:bCs/>
          <w:sz w:val="40"/>
          <w:szCs w:val="40"/>
        </w:rPr>
        <w:t>Flexibility</w:t>
      </w:r>
    </w:p>
    <w:p w14:paraId="3D04185C" w14:textId="30E84A7B" w:rsidR="006E2123" w:rsidRPr="006E2123" w:rsidRDefault="006E2123" w:rsidP="006E2123">
      <w:pPr>
        <w:rPr>
          <w:rFonts w:ascii="Lexend Deca" w:hAnsi="Lexend Deca"/>
          <w:sz w:val="24"/>
          <w:szCs w:val="24"/>
        </w:rPr>
      </w:pPr>
      <w:r w:rsidRPr="006E2123">
        <w:rPr>
          <w:rFonts w:ascii="Lexend Deca" w:hAnsi="Lexend Deca"/>
          <w:sz w:val="24"/>
          <w:szCs w:val="24"/>
        </w:rPr>
        <w:t xml:space="preserve">The design and delivery of the training should model a children’s human rights approach. The training should be carefully planned to avoid any potential barriers to engagement, eliminating any risks, especially around safeguarding. </w:t>
      </w:r>
    </w:p>
    <w:p w14:paraId="61274322" w14:textId="77777777" w:rsidR="006E2123" w:rsidRPr="006E2123" w:rsidRDefault="006E2123" w:rsidP="006E2123">
      <w:pPr>
        <w:rPr>
          <w:rFonts w:ascii="Lexend Deca" w:hAnsi="Lexend Deca"/>
          <w:sz w:val="24"/>
          <w:szCs w:val="24"/>
        </w:rPr>
      </w:pPr>
      <w:r w:rsidRPr="006E2123">
        <w:rPr>
          <w:rFonts w:ascii="Lexend Deca" w:hAnsi="Lexend Deca"/>
          <w:sz w:val="24"/>
          <w:szCs w:val="24"/>
        </w:rPr>
        <w:t>Employ fun and creative methods to make learning interesting. Enhance and enrich training and learning experiences with technology, while being mindful of accessibility. Provide alternative formats and an offline version to accompany digital materials. Recognise that people learn differently from one another, prepare to put in appropriate measures that may increase accessibility and inclusion for the training.</w:t>
      </w:r>
    </w:p>
    <w:p w14:paraId="3A4754A8" w14:textId="77777777" w:rsidR="006E2123" w:rsidRPr="006E2123" w:rsidRDefault="006E2123" w:rsidP="006E2123">
      <w:pPr>
        <w:rPr>
          <w:rFonts w:ascii="Lexend Deca" w:hAnsi="Lexend Deca"/>
          <w:sz w:val="24"/>
          <w:szCs w:val="24"/>
        </w:rPr>
      </w:pPr>
      <w:r w:rsidRPr="006E2123">
        <w:rPr>
          <w:rFonts w:ascii="Lexend Deca" w:hAnsi="Lexend Deca"/>
          <w:sz w:val="24"/>
          <w:szCs w:val="24"/>
        </w:rPr>
        <w:t>Things to consider:</w:t>
      </w:r>
    </w:p>
    <w:p w14:paraId="5D877AAF" w14:textId="77777777" w:rsidR="006E2123" w:rsidRPr="00E61993" w:rsidRDefault="006E2123" w:rsidP="00E61993">
      <w:pPr>
        <w:pStyle w:val="ListParagraph"/>
        <w:numPr>
          <w:ilvl w:val="0"/>
          <w:numId w:val="3"/>
        </w:numPr>
        <w:rPr>
          <w:rFonts w:ascii="Lexend Deca" w:hAnsi="Lexend Deca"/>
          <w:sz w:val="24"/>
          <w:szCs w:val="24"/>
        </w:rPr>
      </w:pPr>
      <w:r w:rsidRPr="00E61993">
        <w:rPr>
          <w:rFonts w:ascii="Lexend Deca" w:hAnsi="Lexend Deca"/>
          <w:sz w:val="24"/>
          <w:szCs w:val="24"/>
        </w:rPr>
        <w:t>Making user friendly materials including plain language, infographics/graphics and adapting materials to learner’s requests as they arise.</w:t>
      </w:r>
    </w:p>
    <w:p w14:paraId="317A7A9F" w14:textId="77777777" w:rsidR="006E2123" w:rsidRPr="00E61993" w:rsidRDefault="006E2123" w:rsidP="00E61993">
      <w:pPr>
        <w:pStyle w:val="ListParagraph"/>
        <w:numPr>
          <w:ilvl w:val="0"/>
          <w:numId w:val="3"/>
        </w:numPr>
        <w:rPr>
          <w:rFonts w:ascii="Lexend Deca" w:hAnsi="Lexend Deca"/>
          <w:sz w:val="24"/>
          <w:szCs w:val="24"/>
        </w:rPr>
      </w:pPr>
      <w:r w:rsidRPr="00E61993">
        <w:rPr>
          <w:rFonts w:ascii="Lexend Deca" w:hAnsi="Lexend Deca"/>
          <w:sz w:val="24"/>
          <w:szCs w:val="24"/>
        </w:rPr>
        <w:t>Creating bitesize materials.</w:t>
      </w:r>
    </w:p>
    <w:p w14:paraId="42BEE095" w14:textId="77777777" w:rsidR="006E2123" w:rsidRPr="00E61993" w:rsidRDefault="006E2123" w:rsidP="00E61993">
      <w:pPr>
        <w:pStyle w:val="ListParagraph"/>
        <w:numPr>
          <w:ilvl w:val="0"/>
          <w:numId w:val="3"/>
        </w:numPr>
        <w:rPr>
          <w:rFonts w:ascii="Lexend Deca" w:hAnsi="Lexend Deca"/>
          <w:sz w:val="24"/>
          <w:szCs w:val="24"/>
        </w:rPr>
      </w:pPr>
      <w:r w:rsidRPr="00E61993">
        <w:rPr>
          <w:rFonts w:ascii="Lexend Deca" w:hAnsi="Lexend Deca"/>
          <w:sz w:val="24"/>
          <w:szCs w:val="24"/>
        </w:rPr>
        <w:t>Including enough breaks.</w:t>
      </w:r>
    </w:p>
    <w:p w14:paraId="2FBA7E29" w14:textId="77777777" w:rsidR="006E2123" w:rsidRPr="00E61993" w:rsidRDefault="006E2123" w:rsidP="00E61993">
      <w:pPr>
        <w:pStyle w:val="ListParagraph"/>
        <w:numPr>
          <w:ilvl w:val="0"/>
          <w:numId w:val="3"/>
        </w:numPr>
        <w:rPr>
          <w:rFonts w:ascii="Lexend Deca" w:hAnsi="Lexend Deca"/>
          <w:sz w:val="24"/>
          <w:szCs w:val="24"/>
        </w:rPr>
      </w:pPr>
      <w:r w:rsidRPr="00E61993">
        <w:rPr>
          <w:rFonts w:ascii="Lexend Deca" w:hAnsi="Lexend Deca"/>
          <w:sz w:val="24"/>
          <w:szCs w:val="24"/>
        </w:rPr>
        <w:t>Having a variety of formats available including online information and apps, printable resources, and peer support spaces or discussion groups to facilitate conversations and learning.</w:t>
      </w:r>
    </w:p>
    <w:p w14:paraId="2086B00E" w14:textId="77777777" w:rsidR="006E2123" w:rsidRPr="00E61993" w:rsidRDefault="006E2123" w:rsidP="00E61993">
      <w:pPr>
        <w:pStyle w:val="ListParagraph"/>
        <w:numPr>
          <w:ilvl w:val="0"/>
          <w:numId w:val="3"/>
        </w:numPr>
        <w:rPr>
          <w:rFonts w:ascii="Lexend Deca" w:hAnsi="Lexend Deca"/>
          <w:sz w:val="24"/>
          <w:szCs w:val="24"/>
        </w:rPr>
      </w:pPr>
      <w:r w:rsidRPr="00E61993">
        <w:rPr>
          <w:rFonts w:ascii="Lexend Deca" w:hAnsi="Lexend Deca"/>
          <w:sz w:val="24"/>
          <w:szCs w:val="24"/>
        </w:rPr>
        <w:t>Using a range of training channels and continually sharing these across different platforms.</w:t>
      </w:r>
    </w:p>
    <w:p w14:paraId="6A1CD5A9" w14:textId="77777777" w:rsidR="006E2123" w:rsidRPr="00E61993" w:rsidRDefault="006E2123" w:rsidP="00E61993">
      <w:pPr>
        <w:pStyle w:val="ListParagraph"/>
        <w:numPr>
          <w:ilvl w:val="0"/>
          <w:numId w:val="3"/>
        </w:numPr>
        <w:rPr>
          <w:rFonts w:ascii="Lexend Deca" w:hAnsi="Lexend Deca"/>
          <w:sz w:val="24"/>
          <w:szCs w:val="24"/>
        </w:rPr>
      </w:pPr>
      <w:r w:rsidRPr="00E61993">
        <w:rPr>
          <w:rFonts w:ascii="Lexend Deca" w:hAnsi="Lexend Deca"/>
          <w:sz w:val="24"/>
          <w:szCs w:val="24"/>
        </w:rPr>
        <w:t>Having both online and in person training options.</w:t>
      </w:r>
    </w:p>
    <w:p w14:paraId="15305DD5" w14:textId="64BE1CCB" w:rsidR="006E2123" w:rsidRPr="00E61993" w:rsidRDefault="006E2123" w:rsidP="00E53A96">
      <w:pPr>
        <w:pStyle w:val="ListParagraph"/>
        <w:numPr>
          <w:ilvl w:val="0"/>
          <w:numId w:val="3"/>
        </w:numPr>
        <w:rPr>
          <w:rFonts w:ascii="Lexend Deca" w:hAnsi="Lexend Deca"/>
          <w:sz w:val="24"/>
          <w:szCs w:val="24"/>
        </w:rPr>
      </w:pPr>
      <w:r w:rsidRPr="00E61993">
        <w:rPr>
          <w:rFonts w:ascii="Lexend Deca" w:hAnsi="Lexend Deca"/>
          <w:sz w:val="24"/>
          <w:szCs w:val="24"/>
        </w:rPr>
        <w:t>Embedding training in induction and annual review processes, logging when training is completed, and where possible integrating within in-house training systems.</w:t>
      </w:r>
    </w:p>
    <w:p w14:paraId="585A0635" w14:textId="5815BE66" w:rsidR="00E53A96" w:rsidRPr="00E53A96" w:rsidRDefault="00E53A96" w:rsidP="00E53A96">
      <w:pPr>
        <w:rPr>
          <w:rFonts w:ascii="Lexend Deca" w:hAnsi="Lexend Deca"/>
          <w:sz w:val="24"/>
          <w:szCs w:val="24"/>
        </w:rPr>
      </w:pPr>
      <w:r w:rsidRPr="00E53A96">
        <w:rPr>
          <w:rFonts w:ascii="Lexend Deca" w:hAnsi="Lexend Deca"/>
          <w:b/>
          <w:bCs/>
          <w:sz w:val="24"/>
          <w:szCs w:val="24"/>
        </w:rPr>
        <w:t>Useful resources to learn more about designing effective training and learning:</w:t>
      </w:r>
    </w:p>
    <w:p w14:paraId="10AD0FB9" w14:textId="1133D426" w:rsidR="00E53A96" w:rsidRPr="00E53A96" w:rsidRDefault="00E53A96" w:rsidP="00E61993">
      <w:pPr>
        <w:rPr>
          <w:rFonts w:ascii="Lexend Deca" w:hAnsi="Lexend Deca"/>
          <w:sz w:val="24"/>
          <w:szCs w:val="24"/>
        </w:rPr>
      </w:pPr>
      <w:r w:rsidRPr="00E53A96">
        <w:rPr>
          <w:rFonts w:ascii="Lexend Deca" w:hAnsi="Lexend Deca"/>
          <w:sz w:val="24"/>
          <w:szCs w:val="24"/>
        </w:rPr>
        <w:t xml:space="preserve">The Open University’s </w:t>
      </w:r>
      <w:hyperlink r:id="rId8" w:history="1">
        <w:r w:rsidRPr="00E53A96">
          <w:rPr>
            <w:rStyle w:val="Hyperlink"/>
            <w:rFonts w:ascii="Lexend Deca" w:hAnsi="Lexend Deca"/>
            <w:sz w:val="24"/>
            <w:szCs w:val="24"/>
          </w:rPr>
          <w:t>research report</w:t>
        </w:r>
      </w:hyperlink>
      <w:r w:rsidRPr="00E53A96">
        <w:rPr>
          <w:rFonts w:ascii="Lexend Deca" w:hAnsi="Lexend Deca"/>
          <w:sz w:val="24"/>
          <w:szCs w:val="24"/>
        </w:rPr>
        <w:t xml:space="preserve"> on embracing flexibility in learning models across the public sector gives useful insights into how the workforce likes to learn.</w:t>
      </w:r>
    </w:p>
    <w:p w14:paraId="5A40F855" w14:textId="2B256753" w:rsidR="00E53A96" w:rsidRPr="00E61993" w:rsidRDefault="00E53A96" w:rsidP="00E61993">
      <w:pPr>
        <w:pStyle w:val="ListParagraph"/>
        <w:numPr>
          <w:ilvl w:val="0"/>
          <w:numId w:val="4"/>
        </w:numPr>
        <w:rPr>
          <w:rFonts w:ascii="Lexend Deca" w:hAnsi="Lexend Deca"/>
          <w:sz w:val="24"/>
          <w:szCs w:val="24"/>
        </w:rPr>
      </w:pPr>
      <w:r w:rsidRPr="00E61993">
        <w:rPr>
          <w:rFonts w:ascii="Lexend Deca" w:hAnsi="Lexend Deca"/>
          <w:sz w:val="24"/>
          <w:szCs w:val="24"/>
        </w:rPr>
        <w:t xml:space="preserve">Open Education Practices in Scotland has created a 15 hour online course about </w:t>
      </w:r>
      <w:hyperlink r:id="rId9" w:history="1">
        <w:r w:rsidRPr="00E61993">
          <w:rPr>
            <w:rStyle w:val="Hyperlink"/>
            <w:rFonts w:ascii="Lexend Deca" w:hAnsi="Lexend Deca"/>
            <w:sz w:val="24"/>
            <w:szCs w:val="24"/>
          </w:rPr>
          <w:t>how to make an open online course</w:t>
        </w:r>
      </w:hyperlink>
      <w:r w:rsidRPr="00E61993">
        <w:rPr>
          <w:rFonts w:ascii="Lexend Deca" w:hAnsi="Lexend Deca"/>
          <w:sz w:val="24"/>
          <w:szCs w:val="24"/>
        </w:rPr>
        <w:t>, which provides useful insight into effective online learning.</w:t>
      </w:r>
    </w:p>
    <w:p w14:paraId="0983C3B4" w14:textId="4D12B73E" w:rsidR="00E53A96" w:rsidRPr="00E61993" w:rsidRDefault="00E53A96" w:rsidP="00E61993">
      <w:pPr>
        <w:pStyle w:val="ListParagraph"/>
        <w:numPr>
          <w:ilvl w:val="0"/>
          <w:numId w:val="4"/>
        </w:numPr>
        <w:rPr>
          <w:rFonts w:ascii="Lexend Deca" w:hAnsi="Lexend Deca"/>
          <w:sz w:val="24"/>
          <w:szCs w:val="24"/>
        </w:rPr>
      </w:pPr>
      <w:r w:rsidRPr="00E61993">
        <w:rPr>
          <w:rFonts w:ascii="Lexend Deca" w:hAnsi="Lexend Deca"/>
          <w:sz w:val="24"/>
          <w:szCs w:val="24"/>
        </w:rPr>
        <w:t xml:space="preserve">CAST’s </w:t>
      </w:r>
      <w:hyperlink r:id="rId10" w:history="1">
        <w:r w:rsidRPr="00E61993">
          <w:rPr>
            <w:rStyle w:val="Hyperlink"/>
            <w:rFonts w:ascii="Lexend Deca" w:hAnsi="Lexend Deca"/>
            <w:sz w:val="24"/>
            <w:szCs w:val="24"/>
          </w:rPr>
          <w:t>universal design for learning</w:t>
        </w:r>
      </w:hyperlink>
      <w:r w:rsidRPr="00E61993">
        <w:rPr>
          <w:rFonts w:ascii="Lexend Deca" w:hAnsi="Lexend Deca"/>
          <w:sz w:val="24"/>
          <w:szCs w:val="24"/>
        </w:rPr>
        <w:t xml:space="preserve"> is a framework to improve and optimise teaching and learning for all people based on scientific insights into how humans learn.</w:t>
      </w:r>
    </w:p>
    <w:p w14:paraId="0B5C9798" w14:textId="7307071F" w:rsidR="007A0FB5" w:rsidRPr="00E61993" w:rsidRDefault="00E53A96" w:rsidP="00E61993">
      <w:pPr>
        <w:pStyle w:val="ListParagraph"/>
        <w:numPr>
          <w:ilvl w:val="0"/>
          <w:numId w:val="4"/>
        </w:numPr>
        <w:rPr>
          <w:rFonts w:ascii="Lexend Deca" w:hAnsi="Lexend Deca"/>
          <w:sz w:val="24"/>
          <w:szCs w:val="24"/>
        </w:rPr>
      </w:pPr>
      <w:r w:rsidRPr="00E61993">
        <w:rPr>
          <w:rFonts w:ascii="Lexend Deca" w:hAnsi="Lexend Deca"/>
          <w:sz w:val="24"/>
          <w:szCs w:val="24"/>
        </w:rPr>
        <w:lastRenderedPageBreak/>
        <w:t xml:space="preserve">Scottish Social Services Council (SSSC) have short modules about </w:t>
      </w:r>
      <w:hyperlink r:id="rId11" w:history="1">
        <w:r w:rsidRPr="00E61993">
          <w:rPr>
            <w:rStyle w:val="Hyperlink"/>
            <w:rFonts w:ascii="Lexend Deca" w:hAnsi="Lexend Deca"/>
            <w:sz w:val="24"/>
            <w:szCs w:val="24"/>
          </w:rPr>
          <w:t>designing and developing flexible, engaging and effective learning,</w:t>
        </w:r>
      </w:hyperlink>
      <w:r w:rsidRPr="00E61993">
        <w:rPr>
          <w:rFonts w:ascii="Lexend Deca" w:hAnsi="Lexend Deca"/>
          <w:sz w:val="24"/>
          <w:szCs w:val="24"/>
        </w:rPr>
        <w:t xml:space="preserve"> and </w:t>
      </w:r>
      <w:hyperlink r:id="rId12" w:anchor="section-2" w:history="1">
        <w:r w:rsidRPr="00E61993">
          <w:rPr>
            <w:rStyle w:val="Hyperlink"/>
            <w:rFonts w:ascii="Lexend Deca" w:hAnsi="Lexend Deca"/>
            <w:sz w:val="24"/>
            <w:szCs w:val="24"/>
          </w:rPr>
          <w:t>supporting digital learning cards to test</w:t>
        </w:r>
        <w:r w:rsidR="00C246A6" w:rsidRPr="00E61993">
          <w:rPr>
            <w:rStyle w:val="Hyperlink"/>
            <w:rFonts w:ascii="Lexend Deca" w:hAnsi="Lexend Deca"/>
            <w:sz w:val="24"/>
            <w:szCs w:val="24"/>
          </w:rPr>
          <w:t xml:space="preserve"> learning.</w:t>
        </w:r>
      </w:hyperlink>
    </w:p>
    <w:sectPr w:rsidR="007A0FB5" w:rsidRPr="00E619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exend Deca">
    <w:panose1 w:val="00000000000000000000"/>
    <w:charset w:val="00"/>
    <w:family w:val="auto"/>
    <w:pitch w:val="variable"/>
    <w:sig w:usb0="A00000FF" w:usb1="4000205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D397CF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0E4FB9"/>
    <w:multiLevelType w:val="hybridMultilevel"/>
    <w:tmpl w:val="4A423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4739E2"/>
    <w:multiLevelType w:val="hybridMultilevel"/>
    <w:tmpl w:val="7F8CB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874EC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421142634">
    <w:abstractNumId w:val="3"/>
  </w:num>
  <w:num w:numId="2" w16cid:durableId="1210265866">
    <w:abstractNumId w:val="0"/>
  </w:num>
  <w:num w:numId="3" w16cid:durableId="2018263557">
    <w:abstractNumId w:val="1"/>
  </w:num>
  <w:num w:numId="4" w16cid:durableId="120416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C73"/>
    <w:rsid w:val="000164A8"/>
    <w:rsid w:val="00126E79"/>
    <w:rsid w:val="002F2C73"/>
    <w:rsid w:val="003C00D5"/>
    <w:rsid w:val="00576F70"/>
    <w:rsid w:val="006E2123"/>
    <w:rsid w:val="007A0FB5"/>
    <w:rsid w:val="00A461DD"/>
    <w:rsid w:val="00BE12C0"/>
    <w:rsid w:val="00C246A6"/>
    <w:rsid w:val="00E13295"/>
    <w:rsid w:val="00E53A96"/>
    <w:rsid w:val="00E619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F9898"/>
  <w15:chartTrackingRefBased/>
  <w15:docId w15:val="{0A35EC8F-2CD4-4F92-B436-A9E82B174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2C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2C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2C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2C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2C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2C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2C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2C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2C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2C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2C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2C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2C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2C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2C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2C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2C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2C73"/>
    <w:rPr>
      <w:rFonts w:eastAsiaTheme="majorEastAsia" w:cstheme="majorBidi"/>
      <w:color w:val="272727" w:themeColor="text1" w:themeTint="D8"/>
    </w:rPr>
  </w:style>
  <w:style w:type="paragraph" w:styleId="Title">
    <w:name w:val="Title"/>
    <w:basedOn w:val="Normal"/>
    <w:next w:val="Normal"/>
    <w:link w:val="TitleChar"/>
    <w:uiPriority w:val="10"/>
    <w:qFormat/>
    <w:rsid w:val="002F2C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2C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2C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2C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2C73"/>
    <w:pPr>
      <w:spacing w:before="160"/>
      <w:jc w:val="center"/>
    </w:pPr>
    <w:rPr>
      <w:i/>
      <w:iCs/>
      <w:color w:val="404040" w:themeColor="text1" w:themeTint="BF"/>
    </w:rPr>
  </w:style>
  <w:style w:type="character" w:customStyle="1" w:styleId="QuoteChar">
    <w:name w:val="Quote Char"/>
    <w:basedOn w:val="DefaultParagraphFont"/>
    <w:link w:val="Quote"/>
    <w:uiPriority w:val="29"/>
    <w:rsid w:val="002F2C73"/>
    <w:rPr>
      <w:i/>
      <w:iCs/>
      <w:color w:val="404040" w:themeColor="text1" w:themeTint="BF"/>
    </w:rPr>
  </w:style>
  <w:style w:type="paragraph" w:styleId="ListParagraph">
    <w:name w:val="List Paragraph"/>
    <w:basedOn w:val="Normal"/>
    <w:uiPriority w:val="34"/>
    <w:qFormat/>
    <w:rsid w:val="002F2C73"/>
    <w:pPr>
      <w:ind w:left="720"/>
      <w:contextualSpacing/>
    </w:pPr>
  </w:style>
  <w:style w:type="character" w:styleId="IntenseEmphasis">
    <w:name w:val="Intense Emphasis"/>
    <w:basedOn w:val="DefaultParagraphFont"/>
    <w:uiPriority w:val="21"/>
    <w:qFormat/>
    <w:rsid w:val="002F2C73"/>
    <w:rPr>
      <w:i/>
      <w:iCs/>
      <w:color w:val="0F4761" w:themeColor="accent1" w:themeShade="BF"/>
    </w:rPr>
  </w:style>
  <w:style w:type="paragraph" w:styleId="IntenseQuote">
    <w:name w:val="Intense Quote"/>
    <w:basedOn w:val="Normal"/>
    <w:next w:val="Normal"/>
    <w:link w:val="IntenseQuoteChar"/>
    <w:uiPriority w:val="30"/>
    <w:qFormat/>
    <w:rsid w:val="002F2C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2C73"/>
    <w:rPr>
      <w:i/>
      <w:iCs/>
      <w:color w:val="0F4761" w:themeColor="accent1" w:themeShade="BF"/>
    </w:rPr>
  </w:style>
  <w:style w:type="character" w:styleId="IntenseReference">
    <w:name w:val="Intense Reference"/>
    <w:basedOn w:val="DefaultParagraphFont"/>
    <w:uiPriority w:val="32"/>
    <w:qFormat/>
    <w:rsid w:val="002F2C73"/>
    <w:rPr>
      <w:b/>
      <w:bCs/>
      <w:smallCaps/>
      <w:color w:val="0F4761" w:themeColor="accent1" w:themeShade="BF"/>
      <w:spacing w:val="5"/>
    </w:rPr>
  </w:style>
  <w:style w:type="character" w:styleId="Hyperlink">
    <w:name w:val="Hyperlink"/>
    <w:basedOn w:val="DefaultParagraphFont"/>
    <w:uiPriority w:val="99"/>
    <w:unhideWhenUsed/>
    <w:rsid w:val="00C246A6"/>
    <w:rPr>
      <w:color w:val="467886" w:themeColor="hyperlink"/>
      <w:u w:val="single"/>
    </w:rPr>
  </w:style>
  <w:style w:type="character" w:styleId="UnresolvedMention">
    <w:name w:val="Unresolved Mention"/>
    <w:basedOn w:val="DefaultParagraphFont"/>
    <w:uiPriority w:val="99"/>
    <w:semiHidden/>
    <w:unhideWhenUsed/>
    <w:rsid w:val="00C246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5.open.ac.uk/business/embracing-flexibility-report"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ms.learn.sssc.uk.com/course/view.php?id=1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ms.learn.sssc.uk.com/course/view.php?id=58" TargetMode="External"/><Relationship Id="rId5" Type="http://schemas.openxmlformats.org/officeDocument/2006/relationships/styles" Target="styles.xml"/><Relationship Id="rId10" Type="http://schemas.openxmlformats.org/officeDocument/2006/relationships/hyperlink" Target="https://www.cast.org/impact/universal-design-for-learning-udl" TargetMode="External"/><Relationship Id="rId4" Type="http://schemas.openxmlformats.org/officeDocument/2006/relationships/numbering" Target="numbering.xml"/><Relationship Id="rId9" Type="http://schemas.openxmlformats.org/officeDocument/2006/relationships/hyperlink" Target="https://www.open.edu/openlearncreate/course/view.php?id=222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9097c22-c108-45c9-9711-649fcb8d734e">
      <Terms xmlns="http://schemas.microsoft.com/office/infopath/2007/PartnerControls"/>
    </lcf76f155ced4ddcb4097134ff3c332f>
    <TaxCatchAll xmlns="25ccb901-815f-4c78-9662-858338c1588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31205BF2D71B48A59BE11B80D410D7" ma:contentTypeVersion="15" ma:contentTypeDescription="Create a new document." ma:contentTypeScope="" ma:versionID="290610bcb3de643dfbbf849ed45741bd">
  <xsd:schema xmlns:xsd="http://www.w3.org/2001/XMLSchema" xmlns:xs="http://www.w3.org/2001/XMLSchema" xmlns:p="http://schemas.microsoft.com/office/2006/metadata/properties" xmlns:ns2="09097c22-c108-45c9-9711-649fcb8d734e" xmlns:ns3="25ccb901-815f-4c78-9662-858338c15881" xmlns:ns4="cab91360-db1c-4fb1-94f4-58fc1abbc762" targetNamespace="http://schemas.microsoft.com/office/2006/metadata/properties" ma:root="true" ma:fieldsID="1686095f476f841ad785fca94bdc3616" ns2:_="" ns3:_="" ns4:_="">
    <xsd:import namespace="09097c22-c108-45c9-9711-649fcb8d734e"/>
    <xsd:import namespace="25ccb901-815f-4c78-9662-858338c15881"/>
    <xsd:import namespace="cab91360-db1c-4fb1-94f4-58fc1abbc7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97c22-c108-45c9-9711-649fcb8d7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1af0794-0719-4605-b3ab-8d281f7f74d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ccb901-815f-4c78-9662-858338c1588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bf4f52a-8b6f-4a6a-828d-7d89039dd4b2}" ma:internalName="TaxCatchAll" ma:showField="CatchAllData" ma:web="25ccb901-815f-4c78-9662-858338c158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b91360-db1c-4fb1-94f4-58fc1abbc762"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FBEFAE-E9ED-458D-81F7-7D0DF2155A5B}">
  <ds:schemaRefs>
    <ds:schemaRef ds:uri="http://schemas.microsoft.com/office/2006/metadata/properties"/>
    <ds:schemaRef ds:uri="http://www.w3.org/XML/1998/namespace"/>
    <ds:schemaRef ds:uri="25ccb901-815f-4c78-9662-858338c15881"/>
    <ds:schemaRef ds:uri="http://schemas.openxmlformats.org/package/2006/metadata/core-properties"/>
    <ds:schemaRef ds:uri="http://purl.org/dc/terms/"/>
    <ds:schemaRef ds:uri="http://schemas.microsoft.com/office/2006/documentManagement/types"/>
    <ds:schemaRef ds:uri="http://purl.org/dc/dcmitype/"/>
    <ds:schemaRef ds:uri="http://schemas.microsoft.com/office/infopath/2007/PartnerControls"/>
    <ds:schemaRef ds:uri="cab91360-db1c-4fb1-94f4-58fc1abbc762"/>
    <ds:schemaRef ds:uri="09097c22-c108-45c9-9711-649fcb8d734e"/>
    <ds:schemaRef ds:uri="http://purl.org/dc/elements/1.1/"/>
  </ds:schemaRefs>
</ds:datastoreItem>
</file>

<file path=customXml/itemProps2.xml><?xml version="1.0" encoding="utf-8"?>
<ds:datastoreItem xmlns:ds="http://schemas.openxmlformats.org/officeDocument/2006/customXml" ds:itemID="{2BB70143-D7C1-4007-9D79-2312AF858D98}">
  <ds:schemaRefs>
    <ds:schemaRef ds:uri="http://schemas.microsoft.com/sharepoint/v3/contenttype/forms"/>
  </ds:schemaRefs>
</ds:datastoreItem>
</file>

<file path=customXml/itemProps3.xml><?xml version="1.0" encoding="utf-8"?>
<ds:datastoreItem xmlns:ds="http://schemas.openxmlformats.org/officeDocument/2006/customXml" ds:itemID="{10585CC3-BDB8-4EA6-8FB8-B6FA72997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097c22-c108-45c9-9711-649fcb8d734e"/>
    <ds:schemaRef ds:uri="25ccb901-815f-4c78-9662-858338c15881"/>
    <ds:schemaRef ds:uri="cab91360-db1c-4fb1-94f4-58fc1abbc7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376</Words>
  <Characters>2144</Characters>
  <Application>Microsoft Office Word</Application>
  <DocSecurity>0</DocSecurity>
  <Lines>17</Lines>
  <Paragraphs>5</Paragraphs>
  <ScaleCrop>false</ScaleCrop>
  <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Campbell</dc:creator>
  <cp:keywords/>
  <dc:description/>
  <cp:lastModifiedBy>Mary Campbell</cp:lastModifiedBy>
  <cp:revision>8</cp:revision>
  <dcterms:created xsi:type="dcterms:W3CDTF">2025-02-11T15:24:00Z</dcterms:created>
  <dcterms:modified xsi:type="dcterms:W3CDTF">2025-02-11T15:31:00Z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0x0101004431205BF2D71B48A59BE11B80D410D7</vt:lpwstr>
  </property>
  <property fmtid="{D5CDD505-2E9C-101B-9397-08002B2CF9AE}" pid="3" name="MediaServiceImageTags">
    <vt:lpwstr/>
  </property>
</Properties>
</file>